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32D12" w14:textId="12577B55" w:rsidR="009E7E07" w:rsidRPr="00DB5AEE" w:rsidRDefault="00EC258C">
      <w:pPr>
        <w:rPr>
          <w:rFonts w:asciiTheme="majorHAnsi" w:hAnsiTheme="majorHAnsi"/>
          <w:b/>
        </w:rPr>
      </w:pPr>
      <w:r w:rsidRPr="00DB5AEE">
        <w:rPr>
          <w:rFonts w:asciiTheme="majorHAnsi" w:hAnsiTheme="majorHAnsi"/>
          <w:b/>
        </w:rPr>
        <w:t xml:space="preserve">Educational Research at BU: </w:t>
      </w:r>
      <w:proofErr w:type="spellStart"/>
      <w:r w:rsidR="00DB5AEE" w:rsidRPr="00DB5AEE">
        <w:rPr>
          <w:rFonts w:asciiTheme="majorHAnsi" w:hAnsiTheme="majorHAnsi"/>
          <w:b/>
        </w:rPr>
        <w:t>UoA</w:t>
      </w:r>
      <w:proofErr w:type="spellEnd"/>
      <w:r w:rsidR="00DB5AEE" w:rsidRPr="00DB5AEE">
        <w:rPr>
          <w:rFonts w:asciiTheme="majorHAnsi" w:hAnsiTheme="majorHAnsi"/>
          <w:b/>
        </w:rPr>
        <w:t xml:space="preserve"> position paper – draft 2 </w:t>
      </w:r>
    </w:p>
    <w:p w14:paraId="6794D019" w14:textId="7EE65027" w:rsidR="00EC258C" w:rsidRPr="00DB5AEE" w:rsidRDefault="00EC258C">
      <w:pPr>
        <w:rPr>
          <w:rFonts w:asciiTheme="majorHAnsi" w:hAnsiTheme="majorHAnsi"/>
          <w:sz w:val="22"/>
          <w:szCs w:val="22"/>
        </w:rPr>
      </w:pPr>
      <w:r w:rsidRPr="00DB5AEE">
        <w:rPr>
          <w:rFonts w:asciiTheme="majorHAnsi" w:hAnsiTheme="majorHAnsi"/>
          <w:sz w:val="22"/>
          <w:szCs w:val="22"/>
        </w:rPr>
        <w:t xml:space="preserve">Julian McDougall, Centre for Excellence in Media Practice, </w:t>
      </w:r>
      <w:r w:rsidR="00DB5AEE" w:rsidRPr="00DB5AEE">
        <w:rPr>
          <w:rFonts w:asciiTheme="majorHAnsi" w:hAnsiTheme="majorHAnsi"/>
          <w:sz w:val="22"/>
          <w:szCs w:val="22"/>
        </w:rPr>
        <w:t xml:space="preserve">May </w:t>
      </w:r>
      <w:r w:rsidRPr="00DB5AEE">
        <w:rPr>
          <w:rFonts w:asciiTheme="majorHAnsi" w:hAnsiTheme="majorHAnsi"/>
          <w:sz w:val="22"/>
          <w:szCs w:val="22"/>
        </w:rPr>
        <w:t xml:space="preserve">2014. </w:t>
      </w:r>
    </w:p>
    <w:p w14:paraId="649DECDD" w14:textId="77777777" w:rsidR="00DB5AEE" w:rsidRPr="00DB5AEE" w:rsidRDefault="00DB5AEE">
      <w:pPr>
        <w:rPr>
          <w:rFonts w:asciiTheme="majorHAnsi" w:hAnsiTheme="majorHAnsi"/>
          <w:sz w:val="22"/>
          <w:szCs w:val="22"/>
        </w:rPr>
      </w:pPr>
    </w:p>
    <w:p w14:paraId="1994CE80" w14:textId="48F09F97" w:rsidR="00DB5AEE" w:rsidRPr="00DB5AEE" w:rsidRDefault="00DB5AEE">
      <w:pPr>
        <w:rPr>
          <w:rFonts w:asciiTheme="majorHAnsi" w:hAnsiTheme="majorHAnsi"/>
          <w:sz w:val="22"/>
          <w:szCs w:val="22"/>
        </w:rPr>
      </w:pPr>
      <w:r w:rsidRPr="00DB5AEE">
        <w:rPr>
          <w:rFonts w:asciiTheme="majorHAnsi" w:hAnsiTheme="majorHAnsi"/>
          <w:sz w:val="22"/>
          <w:szCs w:val="22"/>
        </w:rPr>
        <w:t>This second draft is informed by the response to the paper at the CEL steering committee and the CEL Thought Piece circulated by Gail Thomas on 14.5. The main adjustments are:</w:t>
      </w:r>
    </w:p>
    <w:p w14:paraId="712CE138" w14:textId="77777777" w:rsidR="00DB5AEE" w:rsidRPr="00DB5AEE" w:rsidRDefault="00DB5AEE">
      <w:pPr>
        <w:rPr>
          <w:rFonts w:asciiTheme="majorHAnsi" w:hAnsiTheme="majorHAnsi"/>
          <w:sz w:val="22"/>
          <w:szCs w:val="22"/>
        </w:rPr>
      </w:pPr>
    </w:p>
    <w:p w14:paraId="3E78D458" w14:textId="77777777" w:rsidR="00DB5AEE" w:rsidRPr="00DB5AEE" w:rsidRDefault="00DB5AEE" w:rsidP="00DB5AEE">
      <w:pPr>
        <w:pStyle w:val="ListParagraph"/>
        <w:numPr>
          <w:ilvl w:val="0"/>
          <w:numId w:val="3"/>
        </w:numPr>
        <w:rPr>
          <w:rFonts w:asciiTheme="majorHAnsi" w:hAnsiTheme="majorHAnsi"/>
          <w:sz w:val="22"/>
          <w:szCs w:val="22"/>
        </w:rPr>
      </w:pPr>
      <w:r w:rsidRPr="00DB5AEE">
        <w:rPr>
          <w:rFonts w:asciiTheme="majorHAnsi" w:hAnsiTheme="majorHAnsi"/>
          <w:sz w:val="22"/>
          <w:szCs w:val="22"/>
        </w:rPr>
        <w:t>Inclusion of further detail / refinements to previous detail in the audit list</w:t>
      </w:r>
    </w:p>
    <w:p w14:paraId="085F3E95" w14:textId="3EA44C82" w:rsidR="00DB5AEE" w:rsidRPr="00DB5AEE" w:rsidRDefault="00DB5AEE" w:rsidP="00DB5AEE">
      <w:pPr>
        <w:pStyle w:val="ListParagraph"/>
        <w:numPr>
          <w:ilvl w:val="0"/>
          <w:numId w:val="3"/>
        </w:numPr>
        <w:rPr>
          <w:rFonts w:asciiTheme="majorHAnsi" w:hAnsiTheme="majorHAnsi"/>
          <w:sz w:val="22"/>
          <w:szCs w:val="22"/>
        </w:rPr>
      </w:pPr>
      <w:r w:rsidRPr="00DB5AEE">
        <w:rPr>
          <w:rFonts w:asciiTheme="majorHAnsi" w:hAnsiTheme="majorHAnsi"/>
          <w:sz w:val="22"/>
          <w:szCs w:val="22"/>
        </w:rPr>
        <w:t xml:space="preserve">Adjustment of proposed themes in response to the above </w:t>
      </w:r>
    </w:p>
    <w:p w14:paraId="4956CA16" w14:textId="77777777" w:rsidR="00EC258C" w:rsidRPr="00DB5AEE" w:rsidRDefault="00EC258C">
      <w:pPr>
        <w:rPr>
          <w:rFonts w:asciiTheme="majorHAnsi" w:hAnsiTheme="majorHAnsi"/>
          <w:sz w:val="22"/>
          <w:szCs w:val="22"/>
        </w:rPr>
      </w:pPr>
      <w:r w:rsidRPr="00DB5AEE">
        <w:rPr>
          <w:rFonts w:asciiTheme="majorHAnsi" w:hAnsiTheme="majorHAnsi"/>
          <w:sz w:val="22"/>
          <w:szCs w:val="22"/>
        </w:rPr>
        <w:t xml:space="preserve">This position paper is in 4 parts – (1) a summary of the criteria for REF 2014 </w:t>
      </w:r>
      <w:proofErr w:type="spellStart"/>
      <w:r w:rsidRPr="00DB5AEE">
        <w:rPr>
          <w:rFonts w:asciiTheme="majorHAnsi" w:hAnsiTheme="majorHAnsi"/>
          <w:sz w:val="22"/>
          <w:szCs w:val="22"/>
        </w:rPr>
        <w:t>UoA</w:t>
      </w:r>
      <w:proofErr w:type="spellEnd"/>
      <w:r w:rsidRPr="00DB5AEE">
        <w:rPr>
          <w:rFonts w:asciiTheme="majorHAnsi" w:hAnsiTheme="majorHAnsi"/>
          <w:sz w:val="22"/>
          <w:szCs w:val="22"/>
        </w:rPr>
        <w:t xml:space="preserve"> 25 (Education), (2) an audit of the current position across BU, (3) an overview of categories of education research </w:t>
      </w:r>
      <w:proofErr w:type="spellStart"/>
      <w:r w:rsidRPr="00DB5AEE">
        <w:rPr>
          <w:rFonts w:asciiTheme="majorHAnsi" w:hAnsiTheme="majorHAnsi"/>
          <w:sz w:val="22"/>
          <w:szCs w:val="22"/>
        </w:rPr>
        <w:t>centres</w:t>
      </w:r>
      <w:proofErr w:type="spellEnd"/>
      <w:r w:rsidRPr="00DB5AEE">
        <w:rPr>
          <w:rFonts w:asciiTheme="majorHAnsi" w:hAnsiTheme="majorHAnsi"/>
          <w:sz w:val="22"/>
          <w:szCs w:val="22"/>
        </w:rPr>
        <w:t xml:space="preserve"> across the sector with contrasting likely strategies for REF submission for </w:t>
      </w:r>
      <w:proofErr w:type="spellStart"/>
      <w:r w:rsidRPr="00DB5AEE">
        <w:rPr>
          <w:rFonts w:asciiTheme="majorHAnsi" w:hAnsiTheme="majorHAnsi"/>
          <w:sz w:val="22"/>
          <w:szCs w:val="22"/>
        </w:rPr>
        <w:t>UoA</w:t>
      </w:r>
      <w:proofErr w:type="spellEnd"/>
      <w:r w:rsidRPr="00DB5AEE">
        <w:rPr>
          <w:rFonts w:asciiTheme="majorHAnsi" w:hAnsiTheme="majorHAnsi"/>
          <w:sz w:val="22"/>
          <w:szCs w:val="22"/>
        </w:rPr>
        <w:t xml:space="preserve"> 25 and (4) a provisional strategy for a BU submission to </w:t>
      </w:r>
      <w:proofErr w:type="spellStart"/>
      <w:r w:rsidRPr="00DB5AEE">
        <w:rPr>
          <w:rFonts w:asciiTheme="majorHAnsi" w:hAnsiTheme="majorHAnsi"/>
          <w:sz w:val="22"/>
          <w:szCs w:val="22"/>
        </w:rPr>
        <w:t>UoA</w:t>
      </w:r>
      <w:proofErr w:type="spellEnd"/>
      <w:r w:rsidRPr="00DB5AEE">
        <w:rPr>
          <w:rFonts w:asciiTheme="majorHAnsi" w:hAnsiTheme="majorHAnsi"/>
          <w:sz w:val="22"/>
          <w:szCs w:val="22"/>
        </w:rPr>
        <w:t xml:space="preserve"> 25 for the next REF (or equivalent). </w:t>
      </w:r>
    </w:p>
    <w:p w14:paraId="219384E9" w14:textId="77777777" w:rsidR="00EC258C" w:rsidRPr="00DB5AEE" w:rsidRDefault="00EC258C">
      <w:pPr>
        <w:rPr>
          <w:rFonts w:asciiTheme="majorHAnsi" w:hAnsiTheme="majorHAnsi"/>
          <w:sz w:val="22"/>
          <w:szCs w:val="22"/>
        </w:rPr>
      </w:pPr>
    </w:p>
    <w:p w14:paraId="335EAD18" w14:textId="7642E1E4" w:rsidR="00EC258C" w:rsidRPr="009A1644" w:rsidRDefault="00EC258C">
      <w:pPr>
        <w:rPr>
          <w:rFonts w:asciiTheme="majorHAnsi" w:hAnsiTheme="majorHAnsi"/>
          <w:b/>
          <w:color w:val="FF6600"/>
          <w:sz w:val="22"/>
          <w:szCs w:val="22"/>
        </w:rPr>
      </w:pPr>
      <w:r w:rsidRPr="009A1644">
        <w:rPr>
          <w:rFonts w:asciiTheme="majorHAnsi" w:hAnsiTheme="majorHAnsi"/>
          <w:b/>
          <w:color w:val="FF6600"/>
          <w:sz w:val="22"/>
          <w:szCs w:val="22"/>
        </w:rPr>
        <w:t xml:space="preserve">(1) </w:t>
      </w:r>
      <w:proofErr w:type="spellStart"/>
      <w:r w:rsidRPr="009A1644">
        <w:rPr>
          <w:rFonts w:asciiTheme="majorHAnsi" w:hAnsiTheme="majorHAnsi"/>
          <w:b/>
          <w:color w:val="FF6600"/>
          <w:sz w:val="22"/>
          <w:szCs w:val="22"/>
        </w:rPr>
        <w:t>UoA</w:t>
      </w:r>
      <w:proofErr w:type="spellEnd"/>
      <w:r w:rsidRPr="009A1644">
        <w:rPr>
          <w:rFonts w:asciiTheme="majorHAnsi" w:hAnsiTheme="majorHAnsi"/>
          <w:b/>
          <w:color w:val="FF6600"/>
          <w:sz w:val="22"/>
          <w:szCs w:val="22"/>
        </w:rPr>
        <w:t xml:space="preserve"> 25: Education </w:t>
      </w:r>
      <w:r w:rsidR="007364F2" w:rsidRPr="009A1644">
        <w:rPr>
          <w:rFonts w:asciiTheme="majorHAnsi" w:hAnsiTheme="majorHAnsi"/>
          <w:b/>
          <w:color w:val="FF6600"/>
          <w:sz w:val="22"/>
          <w:szCs w:val="22"/>
        </w:rPr>
        <w:t xml:space="preserve"> (see appendix for panel membership) </w:t>
      </w:r>
    </w:p>
    <w:p w14:paraId="52235260" w14:textId="77777777" w:rsidR="00EC258C" w:rsidRPr="00DB5AEE" w:rsidRDefault="00EC258C">
      <w:pPr>
        <w:rPr>
          <w:rFonts w:asciiTheme="majorHAnsi" w:hAnsiTheme="majorHAnsi"/>
          <w:sz w:val="22"/>
          <w:szCs w:val="22"/>
        </w:rPr>
      </w:pPr>
    </w:p>
    <w:p w14:paraId="301C12DB" w14:textId="77777777" w:rsidR="00EC258C" w:rsidRPr="00DB5AEE" w:rsidRDefault="00EC258C" w:rsidP="00EC258C">
      <w:pPr>
        <w:spacing w:after="240" w:line="300" w:lineRule="atLeast"/>
        <w:rPr>
          <w:rFonts w:asciiTheme="majorHAnsi" w:hAnsiTheme="majorHAnsi"/>
          <w:sz w:val="22"/>
          <w:szCs w:val="22"/>
        </w:rPr>
      </w:pPr>
      <w:r w:rsidRPr="00DB5AEE">
        <w:rPr>
          <w:rFonts w:asciiTheme="majorHAnsi" w:hAnsiTheme="majorHAnsi"/>
          <w:b/>
          <w:sz w:val="22"/>
          <w:szCs w:val="22"/>
        </w:rPr>
        <w:t xml:space="preserve">Descriptor: </w:t>
      </w:r>
      <w:r w:rsidRPr="00DB5AEE">
        <w:rPr>
          <w:rFonts w:asciiTheme="majorHAnsi" w:hAnsiTheme="majorHAnsi"/>
          <w:sz w:val="22"/>
          <w:szCs w:val="22"/>
        </w:rPr>
        <w:t xml:space="preserve">Research in education is multi-disciplinary and is closely related to a range of other disciplines with which it shares common interests, methods and approaches. This diversity of content and methodology requires the sub-panel to be flexible in setting out the boundaries of work relevant to the REF. </w:t>
      </w:r>
    </w:p>
    <w:p w14:paraId="400C1734" w14:textId="77777777" w:rsidR="00EC258C" w:rsidRPr="00DB5AEE" w:rsidRDefault="00EC258C" w:rsidP="00EC258C">
      <w:pPr>
        <w:spacing w:after="240" w:line="300" w:lineRule="atLeast"/>
        <w:rPr>
          <w:rFonts w:asciiTheme="majorHAnsi" w:hAnsiTheme="majorHAnsi"/>
          <w:sz w:val="22"/>
          <w:szCs w:val="22"/>
        </w:rPr>
      </w:pPr>
      <w:r w:rsidRPr="00DB5AEE">
        <w:rPr>
          <w:rFonts w:asciiTheme="majorHAnsi" w:hAnsiTheme="majorHAnsi"/>
          <w:sz w:val="22"/>
          <w:szCs w:val="22"/>
        </w:rPr>
        <w:t>The UOA may be broadly described as being concerned with research in the areas identified in the following illustrative lists:</w:t>
      </w:r>
    </w:p>
    <w:p w14:paraId="2AE2EFD9" w14:textId="77777777" w:rsidR="00EC258C" w:rsidRPr="00DB5AEE" w:rsidRDefault="00EC258C" w:rsidP="00EC258C">
      <w:pPr>
        <w:pStyle w:val="ListParagraph"/>
        <w:numPr>
          <w:ilvl w:val="2"/>
          <w:numId w:val="1"/>
        </w:numPr>
        <w:ind w:left="0" w:firstLine="0"/>
        <w:rPr>
          <w:rFonts w:asciiTheme="majorHAnsi" w:hAnsiTheme="majorHAnsi"/>
          <w:szCs w:val="21"/>
        </w:rPr>
      </w:pPr>
      <w:r w:rsidRPr="00DB5AEE">
        <w:rPr>
          <w:rFonts w:asciiTheme="majorHAnsi" w:hAnsiTheme="majorHAnsi"/>
          <w:szCs w:val="21"/>
        </w:rPr>
        <w:t xml:space="preserve">Research which addresses education systems, issues, processes, provision and outcomes in relation to sectors, </w:t>
      </w:r>
      <w:r w:rsidRPr="00DB5AEE">
        <w:rPr>
          <w:rFonts w:asciiTheme="majorHAnsi" w:hAnsiTheme="majorHAnsi"/>
          <w:b/>
          <w:szCs w:val="21"/>
        </w:rPr>
        <w:t>such as</w:t>
      </w:r>
      <w:r w:rsidRPr="00DB5AEE">
        <w:rPr>
          <w:rFonts w:asciiTheme="majorHAnsi" w:hAnsiTheme="majorHAnsi"/>
          <w:szCs w:val="21"/>
        </w:rPr>
        <w:t>: early years, primary, secondary, further, higher, medical, workplace, adult and continuing education. It also includes teacher, healthcare and other forms of professional education, vocational training; and informal, community and lifelong learning.</w:t>
      </w:r>
    </w:p>
    <w:p w14:paraId="5F181605" w14:textId="77777777" w:rsidR="00EC258C" w:rsidRPr="00DB5AEE" w:rsidRDefault="00EC258C" w:rsidP="00EC258C">
      <w:pPr>
        <w:pStyle w:val="ListParagraph"/>
        <w:numPr>
          <w:ilvl w:val="2"/>
          <w:numId w:val="1"/>
        </w:numPr>
        <w:ind w:left="0" w:firstLine="0"/>
        <w:rPr>
          <w:rFonts w:asciiTheme="majorHAnsi" w:hAnsiTheme="majorHAnsi"/>
          <w:szCs w:val="21"/>
        </w:rPr>
      </w:pPr>
      <w:r w:rsidRPr="00DB5AEE">
        <w:rPr>
          <w:rFonts w:asciiTheme="majorHAnsi" w:hAnsiTheme="majorHAnsi"/>
          <w:szCs w:val="21"/>
        </w:rPr>
        <w:t xml:space="preserve">Research which addresses substantive areas, </w:t>
      </w:r>
      <w:r w:rsidRPr="00DB5AEE">
        <w:rPr>
          <w:rFonts w:asciiTheme="majorHAnsi" w:hAnsiTheme="majorHAnsi"/>
          <w:b/>
          <w:szCs w:val="21"/>
        </w:rPr>
        <w:t>such as</w:t>
      </w:r>
      <w:r w:rsidRPr="00DB5AEE">
        <w:rPr>
          <w:rFonts w:asciiTheme="majorHAnsi" w:hAnsiTheme="majorHAnsi"/>
          <w:szCs w:val="21"/>
        </w:rPr>
        <w:t>: curriculum, pedagogy, assessment, language, teaching and learning; children, young people, student and adult learners; parents, families and communities; culture, economy and society; teacher training, professionalism and continuing professional development (CPD); special and inclusive education; participation, rights and equity issues; technology-enhanced learning; education policy; the organisation, governance, management, effectiveness and improvement of educational institutions; education, training, workplaces, industry and the labour market; comparative, international and development education.</w:t>
      </w:r>
    </w:p>
    <w:p w14:paraId="3A11B4E1" w14:textId="77777777" w:rsidR="00EC258C" w:rsidRPr="00DB5AEE" w:rsidRDefault="00EC258C" w:rsidP="00EC258C">
      <w:pPr>
        <w:pStyle w:val="ListParagraph"/>
        <w:numPr>
          <w:ilvl w:val="2"/>
          <w:numId w:val="1"/>
        </w:numPr>
        <w:ind w:left="0" w:firstLine="0"/>
        <w:rPr>
          <w:rFonts w:asciiTheme="majorHAnsi" w:hAnsiTheme="majorHAnsi"/>
          <w:szCs w:val="21"/>
        </w:rPr>
      </w:pPr>
      <w:r w:rsidRPr="00DB5AEE">
        <w:rPr>
          <w:rFonts w:asciiTheme="majorHAnsi" w:hAnsiTheme="majorHAnsi"/>
          <w:szCs w:val="21"/>
        </w:rPr>
        <w:t xml:space="preserve">Research which employs a range of theoretical frameworks and methodologies drawn from disciplinary traditions, </w:t>
      </w:r>
      <w:r w:rsidRPr="00DB5AEE">
        <w:rPr>
          <w:rFonts w:asciiTheme="majorHAnsi" w:hAnsiTheme="majorHAnsi"/>
          <w:b/>
          <w:szCs w:val="21"/>
        </w:rPr>
        <w:t>including, but not limited to</w:t>
      </w:r>
      <w:r w:rsidRPr="00DB5AEE">
        <w:rPr>
          <w:rFonts w:asciiTheme="majorHAnsi" w:hAnsiTheme="majorHAnsi"/>
          <w:szCs w:val="21"/>
        </w:rPr>
        <w:t xml:space="preserve">: anthropology, applied linguistics, economics, geography, history, humanities, mathematics, statistics, philosophy, political science, psychology, science and sociology. Research in the field of education deploys a range of qualitative and quantitative methodologies with structured, exploratory and participatory research designs. These </w:t>
      </w:r>
      <w:r w:rsidRPr="00DB5AEE">
        <w:rPr>
          <w:rFonts w:asciiTheme="majorHAnsi" w:hAnsiTheme="majorHAnsi"/>
          <w:b/>
          <w:szCs w:val="21"/>
        </w:rPr>
        <w:t>include, but are not limited to</w:t>
      </w:r>
      <w:r w:rsidRPr="00DB5AEE">
        <w:rPr>
          <w:rFonts w:asciiTheme="majorHAnsi" w:hAnsiTheme="majorHAnsi"/>
          <w:szCs w:val="21"/>
        </w:rPr>
        <w:t>: surveys, experiments and controlled trials; ethnography, interview and narrative enquiry; action research and case study; evaluation research; critical theory and documentary analysis; analytic synthesis and systematic review.</w:t>
      </w:r>
    </w:p>
    <w:p w14:paraId="5454E744" w14:textId="77777777" w:rsidR="00EC258C" w:rsidRPr="00DB5AEE" w:rsidRDefault="00EC258C" w:rsidP="00EC258C">
      <w:pPr>
        <w:spacing w:after="240" w:line="300" w:lineRule="atLeast"/>
        <w:rPr>
          <w:rFonts w:asciiTheme="majorHAnsi" w:hAnsiTheme="majorHAnsi"/>
          <w:i/>
          <w:sz w:val="20"/>
          <w:szCs w:val="20"/>
        </w:rPr>
      </w:pPr>
      <w:r w:rsidRPr="00DB5AEE">
        <w:rPr>
          <w:rStyle w:val="apple-style-span"/>
          <w:rFonts w:asciiTheme="majorHAnsi" w:hAnsiTheme="majorHAnsi"/>
          <w:i/>
          <w:sz w:val="20"/>
          <w:szCs w:val="20"/>
        </w:rPr>
        <w:lastRenderedPageBreak/>
        <w:t xml:space="preserve">The sub-panel welcomes submissions in pedagogical research in higher education and in professional </w:t>
      </w:r>
      <w:r w:rsidRPr="00DB5AEE">
        <w:rPr>
          <w:rFonts w:asciiTheme="majorHAnsi" w:hAnsiTheme="majorHAnsi"/>
          <w:i/>
          <w:sz w:val="20"/>
          <w:szCs w:val="20"/>
        </w:rPr>
        <w:t>education</w:t>
      </w:r>
      <w:r w:rsidRPr="00DB5AEE">
        <w:rPr>
          <w:rStyle w:val="apple-style-span"/>
          <w:rFonts w:asciiTheme="majorHAnsi" w:hAnsiTheme="majorHAnsi"/>
          <w:i/>
          <w:sz w:val="20"/>
          <w:szCs w:val="20"/>
        </w:rPr>
        <w:t xml:space="preserve"> (including healthcare), while </w:t>
      </w:r>
      <w:proofErr w:type="spellStart"/>
      <w:r w:rsidRPr="00DB5AEE">
        <w:rPr>
          <w:rStyle w:val="apple-style-span"/>
          <w:rFonts w:asciiTheme="majorHAnsi" w:hAnsiTheme="majorHAnsi"/>
          <w:i/>
          <w:sz w:val="20"/>
          <w:szCs w:val="20"/>
        </w:rPr>
        <w:t>recognising</w:t>
      </w:r>
      <w:proofErr w:type="spellEnd"/>
      <w:r w:rsidRPr="00DB5AEE">
        <w:rPr>
          <w:rStyle w:val="apple-style-span"/>
          <w:rFonts w:asciiTheme="majorHAnsi" w:hAnsiTheme="majorHAnsi"/>
          <w:i/>
          <w:sz w:val="20"/>
          <w:szCs w:val="20"/>
        </w:rPr>
        <w:t xml:space="preserve"> that such work may instead be submitted in another relevant UOA.</w:t>
      </w:r>
      <w:r w:rsidRPr="00DB5AEE">
        <w:rPr>
          <w:rStyle w:val="apple-style-span"/>
          <w:rFonts w:asciiTheme="majorHAnsi" w:hAnsiTheme="majorHAnsi"/>
          <w:sz w:val="20"/>
          <w:szCs w:val="20"/>
        </w:rPr>
        <w:t xml:space="preserve"> </w:t>
      </w:r>
      <w:r w:rsidRPr="00DB5AEE">
        <w:rPr>
          <w:rStyle w:val="apple-style-span"/>
          <w:rFonts w:asciiTheme="majorHAnsi" w:hAnsiTheme="majorHAnsi"/>
          <w:i/>
          <w:sz w:val="20"/>
          <w:szCs w:val="20"/>
        </w:rPr>
        <w:t xml:space="preserve">The sub-panel will consider </w:t>
      </w:r>
      <w:r w:rsidRPr="00DB5AEE">
        <w:rPr>
          <w:rFonts w:asciiTheme="majorHAnsi" w:hAnsiTheme="majorHAnsi"/>
          <w:i/>
          <w:sz w:val="20"/>
          <w:szCs w:val="20"/>
        </w:rPr>
        <w:t xml:space="preserve">submissions in </w:t>
      </w:r>
      <w:proofErr w:type="spellStart"/>
      <w:r w:rsidRPr="00DB5AEE">
        <w:rPr>
          <w:rFonts w:asciiTheme="majorHAnsi" w:hAnsiTheme="majorHAnsi"/>
          <w:i/>
          <w:sz w:val="20"/>
          <w:szCs w:val="20"/>
        </w:rPr>
        <w:t>counselling</w:t>
      </w:r>
      <w:proofErr w:type="spellEnd"/>
      <w:r w:rsidRPr="00DB5AEE">
        <w:rPr>
          <w:rFonts w:asciiTheme="majorHAnsi" w:hAnsiTheme="majorHAnsi"/>
          <w:i/>
          <w:sz w:val="20"/>
          <w:szCs w:val="20"/>
        </w:rPr>
        <w:t xml:space="preserve"> and neuroscience where this work has an educational orientation. However, submissions in these areas may be referred to another sub-panel for advice.</w:t>
      </w:r>
    </w:p>
    <w:p w14:paraId="5838F923" w14:textId="77777777" w:rsidR="00EC258C" w:rsidRPr="009A1644" w:rsidRDefault="00EC258C">
      <w:pPr>
        <w:rPr>
          <w:rFonts w:asciiTheme="majorHAnsi" w:hAnsiTheme="majorHAnsi"/>
          <w:b/>
          <w:color w:val="FF6600"/>
          <w:sz w:val="22"/>
          <w:szCs w:val="22"/>
        </w:rPr>
      </w:pPr>
      <w:r w:rsidRPr="009A1644">
        <w:rPr>
          <w:rFonts w:asciiTheme="majorHAnsi" w:hAnsiTheme="majorHAnsi"/>
          <w:b/>
          <w:color w:val="FF6600"/>
          <w:sz w:val="22"/>
          <w:szCs w:val="22"/>
        </w:rPr>
        <w:t xml:space="preserve"> (2) Audit of educational research at BU: </w:t>
      </w:r>
    </w:p>
    <w:p w14:paraId="1CBAA0F6" w14:textId="77777777" w:rsidR="00EC258C" w:rsidRPr="00DB5AEE" w:rsidRDefault="00EC258C">
      <w:pPr>
        <w:rPr>
          <w:rFonts w:asciiTheme="majorHAnsi" w:hAnsiTheme="majorHAnsi"/>
          <w:sz w:val="22"/>
          <w:szCs w:val="22"/>
        </w:rPr>
      </w:pPr>
    </w:p>
    <w:p w14:paraId="4EA813E4" w14:textId="6782A0B0" w:rsidR="00EC258C" w:rsidRPr="00DB5AEE" w:rsidRDefault="00EC258C">
      <w:pPr>
        <w:rPr>
          <w:rFonts w:asciiTheme="majorHAnsi" w:hAnsiTheme="majorHAnsi"/>
          <w:sz w:val="22"/>
          <w:szCs w:val="22"/>
        </w:rPr>
      </w:pPr>
      <w:r w:rsidRPr="00DB5AEE">
        <w:rPr>
          <w:rFonts w:asciiTheme="majorHAnsi" w:hAnsiTheme="majorHAnsi"/>
          <w:sz w:val="22"/>
          <w:szCs w:val="22"/>
        </w:rPr>
        <w:t xml:space="preserve">There was a very positive response to the call for inclusion in an educational research group, showing an appetite in the institution to pool research activity, foster support and collaboration and focus thematically and methodologically in order to produce a REF strategy ‘narrative’ to work to. </w:t>
      </w:r>
      <w:r w:rsidR="009A1644">
        <w:rPr>
          <w:rFonts w:asciiTheme="majorHAnsi" w:hAnsiTheme="majorHAnsi"/>
          <w:sz w:val="22"/>
          <w:szCs w:val="22"/>
        </w:rPr>
        <w:t xml:space="preserve">An audit was conducted by invitation and </w:t>
      </w:r>
      <w:proofErr w:type="gramStart"/>
      <w:r w:rsidR="009A1644">
        <w:rPr>
          <w:rFonts w:asciiTheme="majorHAnsi" w:hAnsiTheme="majorHAnsi"/>
          <w:sz w:val="22"/>
          <w:szCs w:val="22"/>
        </w:rPr>
        <w:t xml:space="preserve">existing </w:t>
      </w:r>
      <w:r w:rsidR="00AB1D91" w:rsidRPr="00DB5AEE">
        <w:rPr>
          <w:rFonts w:asciiTheme="majorHAnsi" w:hAnsiTheme="majorHAnsi"/>
          <w:sz w:val="22"/>
          <w:szCs w:val="22"/>
        </w:rPr>
        <w:t xml:space="preserve"> </w:t>
      </w:r>
      <w:r w:rsidR="009A1644">
        <w:rPr>
          <w:rFonts w:asciiTheme="majorHAnsi" w:hAnsiTheme="majorHAnsi"/>
          <w:sz w:val="22"/>
          <w:szCs w:val="22"/>
        </w:rPr>
        <w:t>e</w:t>
      </w:r>
      <w:r w:rsidRPr="00DB5AEE">
        <w:rPr>
          <w:rFonts w:asciiTheme="majorHAnsi" w:hAnsiTheme="majorHAnsi"/>
          <w:sz w:val="22"/>
          <w:szCs w:val="22"/>
        </w:rPr>
        <w:t>ducational</w:t>
      </w:r>
      <w:proofErr w:type="gramEnd"/>
      <w:r w:rsidRPr="00DB5AEE">
        <w:rPr>
          <w:rFonts w:asciiTheme="majorHAnsi" w:hAnsiTheme="majorHAnsi"/>
          <w:sz w:val="22"/>
          <w:szCs w:val="22"/>
        </w:rPr>
        <w:t xml:space="preserve"> research at BU </w:t>
      </w:r>
      <w:r w:rsidR="009A1644">
        <w:rPr>
          <w:rFonts w:asciiTheme="majorHAnsi" w:hAnsiTheme="majorHAnsi"/>
          <w:sz w:val="22"/>
          <w:szCs w:val="22"/>
        </w:rPr>
        <w:t>was</w:t>
      </w:r>
      <w:r w:rsidRPr="00DB5AEE">
        <w:rPr>
          <w:rFonts w:asciiTheme="majorHAnsi" w:hAnsiTheme="majorHAnsi"/>
          <w:sz w:val="22"/>
          <w:szCs w:val="22"/>
        </w:rPr>
        <w:t xml:space="preserve"> grouped here by school, by theme and methodology</w:t>
      </w:r>
      <w:r w:rsidR="00E24868" w:rsidRPr="00DB5AEE">
        <w:rPr>
          <w:rFonts w:asciiTheme="majorHAnsi" w:hAnsiTheme="majorHAnsi"/>
          <w:sz w:val="22"/>
          <w:szCs w:val="22"/>
        </w:rPr>
        <w:t xml:space="preserve"> (where indicated)</w:t>
      </w:r>
      <w:r w:rsidRPr="00DB5AEE">
        <w:rPr>
          <w:rFonts w:asciiTheme="majorHAnsi" w:hAnsiTheme="majorHAnsi"/>
          <w:sz w:val="22"/>
          <w:szCs w:val="22"/>
        </w:rPr>
        <w:t xml:space="preserve">, by the scale / nature of outputs. Additionally, </w:t>
      </w:r>
      <w:r w:rsidR="009A1644">
        <w:rPr>
          <w:rFonts w:asciiTheme="majorHAnsi" w:hAnsiTheme="majorHAnsi"/>
          <w:sz w:val="22"/>
          <w:szCs w:val="22"/>
        </w:rPr>
        <w:t xml:space="preserve">a significant number </w:t>
      </w:r>
      <w:proofErr w:type="gramStart"/>
      <w:r w:rsidR="009A1644">
        <w:rPr>
          <w:rFonts w:asciiTheme="majorHAnsi" w:hAnsiTheme="majorHAnsi"/>
          <w:sz w:val="22"/>
          <w:szCs w:val="22"/>
        </w:rPr>
        <w:t xml:space="preserve">of </w:t>
      </w:r>
      <w:r w:rsidRPr="00DB5AEE">
        <w:rPr>
          <w:rFonts w:asciiTheme="majorHAnsi" w:hAnsiTheme="majorHAnsi"/>
          <w:sz w:val="22"/>
          <w:szCs w:val="22"/>
        </w:rPr>
        <w:t xml:space="preserve"> researchers</w:t>
      </w:r>
      <w:proofErr w:type="gramEnd"/>
      <w:r w:rsidRPr="00DB5AEE">
        <w:rPr>
          <w:rFonts w:asciiTheme="majorHAnsi" w:hAnsiTheme="majorHAnsi"/>
          <w:sz w:val="22"/>
          <w:szCs w:val="22"/>
        </w:rPr>
        <w:t xml:space="preserve"> appear to be REF</w:t>
      </w:r>
      <w:r w:rsidR="009A1644">
        <w:rPr>
          <w:rFonts w:asciiTheme="majorHAnsi" w:hAnsiTheme="majorHAnsi"/>
          <w:sz w:val="22"/>
          <w:szCs w:val="22"/>
        </w:rPr>
        <w:t xml:space="preserve">-applicable in a ‘primary’ </w:t>
      </w:r>
      <w:proofErr w:type="spellStart"/>
      <w:r w:rsidR="009A1644">
        <w:rPr>
          <w:rFonts w:asciiTheme="majorHAnsi" w:hAnsiTheme="majorHAnsi"/>
          <w:sz w:val="22"/>
          <w:szCs w:val="22"/>
        </w:rPr>
        <w:t>UoA</w:t>
      </w:r>
      <w:proofErr w:type="spellEnd"/>
      <w:r w:rsidR="009A1644">
        <w:rPr>
          <w:rFonts w:asciiTheme="majorHAnsi" w:hAnsiTheme="majorHAnsi"/>
          <w:sz w:val="22"/>
          <w:szCs w:val="22"/>
        </w:rPr>
        <w:t>. T</w:t>
      </w:r>
      <w:r w:rsidRPr="00DB5AEE">
        <w:rPr>
          <w:rFonts w:asciiTheme="majorHAnsi" w:hAnsiTheme="majorHAnsi"/>
          <w:sz w:val="22"/>
          <w:szCs w:val="22"/>
        </w:rPr>
        <w:t xml:space="preserve">hese colleagues would need to make a strategic choice whether to focus their work more on </w:t>
      </w:r>
      <w:r w:rsidR="009A1644">
        <w:rPr>
          <w:rFonts w:asciiTheme="majorHAnsi" w:hAnsiTheme="majorHAnsi"/>
          <w:sz w:val="22"/>
          <w:szCs w:val="22"/>
        </w:rPr>
        <w:t xml:space="preserve">education or a core discipline or attempt to cover both. </w:t>
      </w:r>
    </w:p>
    <w:p w14:paraId="0944F0EA" w14:textId="77777777" w:rsidR="00E24868" w:rsidRPr="00DB5AEE" w:rsidRDefault="00E24868">
      <w:pPr>
        <w:rPr>
          <w:rFonts w:asciiTheme="majorHAnsi" w:hAnsiTheme="majorHAnsi"/>
          <w:sz w:val="22"/>
          <w:szCs w:val="22"/>
        </w:rPr>
      </w:pPr>
    </w:p>
    <w:p w14:paraId="34DAE4F9" w14:textId="77777777" w:rsidR="00E24868" w:rsidRPr="00DB5AEE" w:rsidRDefault="00E24868">
      <w:pPr>
        <w:rPr>
          <w:rFonts w:asciiTheme="majorHAnsi" w:hAnsiTheme="majorHAnsi"/>
          <w:sz w:val="22"/>
          <w:szCs w:val="22"/>
        </w:rPr>
      </w:pPr>
    </w:p>
    <w:p w14:paraId="745F157D" w14:textId="4C7C5519" w:rsidR="00EC258C" w:rsidRPr="009A1644" w:rsidRDefault="00EC258C">
      <w:pPr>
        <w:rPr>
          <w:rFonts w:asciiTheme="majorHAnsi" w:hAnsiTheme="majorHAnsi"/>
          <w:b/>
          <w:color w:val="FF6600"/>
          <w:sz w:val="22"/>
          <w:szCs w:val="22"/>
        </w:rPr>
      </w:pPr>
      <w:r w:rsidRPr="009A1644">
        <w:rPr>
          <w:rFonts w:asciiTheme="majorHAnsi" w:hAnsiTheme="majorHAnsi"/>
          <w:b/>
          <w:color w:val="FF6600"/>
          <w:sz w:val="22"/>
          <w:szCs w:val="22"/>
        </w:rPr>
        <w:t xml:space="preserve">(3) </w:t>
      </w:r>
      <w:r w:rsidR="009A1644" w:rsidRPr="009A1644">
        <w:rPr>
          <w:rFonts w:asciiTheme="majorHAnsi" w:hAnsiTheme="majorHAnsi"/>
          <w:b/>
          <w:color w:val="FF6600"/>
          <w:sz w:val="22"/>
          <w:szCs w:val="22"/>
        </w:rPr>
        <w:t>Review of e</w:t>
      </w:r>
      <w:r w:rsidRPr="009A1644">
        <w:rPr>
          <w:rFonts w:asciiTheme="majorHAnsi" w:hAnsiTheme="majorHAnsi"/>
          <w:b/>
          <w:color w:val="FF6600"/>
          <w:sz w:val="22"/>
          <w:szCs w:val="22"/>
        </w:rPr>
        <w:t xml:space="preserve">ducational research </w:t>
      </w:r>
      <w:proofErr w:type="spellStart"/>
      <w:r w:rsidRPr="009A1644">
        <w:rPr>
          <w:rFonts w:asciiTheme="majorHAnsi" w:hAnsiTheme="majorHAnsi"/>
          <w:b/>
          <w:color w:val="FF6600"/>
          <w:sz w:val="22"/>
          <w:szCs w:val="22"/>
        </w:rPr>
        <w:t>centres</w:t>
      </w:r>
      <w:proofErr w:type="spellEnd"/>
      <w:r w:rsidRPr="009A1644">
        <w:rPr>
          <w:rFonts w:asciiTheme="majorHAnsi" w:hAnsiTheme="majorHAnsi"/>
          <w:b/>
          <w:color w:val="FF6600"/>
          <w:sz w:val="22"/>
          <w:szCs w:val="22"/>
        </w:rPr>
        <w:t xml:space="preserve"> </w:t>
      </w:r>
    </w:p>
    <w:p w14:paraId="7EC8514B" w14:textId="77777777" w:rsidR="00EC258C" w:rsidRPr="00DB5AEE" w:rsidRDefault="00EC258C">
      <w:pPr>
        <w:rPr>
          <w:rFonts w:asciiTheme="majorHAnsi" w:hAnsiTheme="majorHAnsi"/>
          <w:sz w:val="22"/>
          <w:szCs w:val="22"/>
        </w:rPr>
      </w:pPr>
    </w:p>
    <w:p w14:paraId="65E3B83C" w14:textId="77777777" w:rsidR="00FD786C" w:rsidRPr="00DB5AEE" w:rsidRDefault="00FD786C">
      <w:pPr>
        <w:rPr>
          <w:rFonts w:asciiTheme="majorHAnsi" w:hAnsiTheme="majorHAnsi"/>
          <w:sz w:val="22"/>
          <w:szCs w:val="22"/>
        </w:rPr>
      </w:pPr>
      <w:r w:rsidRPr="00DB5AEE">
        <w:rPr>
          <w:rFonts w:asciiTheme="majorHAnsi" w:hAnsiTheme="majorHAnsi"/>
          <w:sz w:val="22"/>
          <w:szCs w:val="22"/>
        </w:rPr>
        <w:t xml:space="preserve">The following represent a range of contrasting structures and REF narratives / thematic strategies: </w:t>
      </w:r>
    </w:p>
    <w:p w14:paraId="6C1FB7BA" w14:textId="77777777" w:rsidR="00FD786C" w:rsidRPr="00DB5AEE" w:rsidRDefault="00FD786C">
      <w:pPr>
        <w:rPr>
          <w:rFonts w:asciiTheme="majorHAnsi" w:hAnsiTheme="majorHAnsi"/>
          <w:sz w:val="22"/>
          <w:szCs w:val="22"/>
        </w:rPr>
      </w:pPr>
    </w:p>
    <w:p w14:paraId="17D843EC" w14:textId="71292F4A" w:rsidR="00FD786C" w:rsidRPr="00DB5AEE" w:rsidRDefault="00FD786C">
      <w:pPr>
        <w:rPr>
          <w:rFonts w:asciiTheme="majorHAnsi" w:hAnsiTheme="majorHAnsi"/>
          <w:sz w:val="22"/>
          <w:szCs w:val="22"/>
        </w:rPr>
      </w:pPr>
      <w:proofErr w:type="spellStart"/>
      <w:r w:rsidRPr="00DB5AEE">
        <w:rPr>
          <w:rFonts w:asciiTheme="majorHAnsi" w:hAnsiTheme="majorHAnsi"/>
          <w:b/>
          <w:sz w:val="22"/>
          <w:szCs w:val="22"/>
        </w:rPr>
        <w:t>Wolverhampton</w:t>
      </w:r>
      <w:proofErr w:type="spellEnd"/>
      <w:r w:rsidRPr="00DB5AEE">
        <w:rPr>
          <w:rFonts w:asciiTheme="majorHAnsi" w:hAnsiTheme="majorHAnsi"/>
          <w:b/>
          <w:sz w:val="22"/>
          <w:szCs w:val="22"/>
        </w:rPr>
        <w:t xml:space="preserve"> University</w:t>
      </w:r>
      <w:r w:rsidR="00CC6705" w:rsidRPr="00DB5AEE">
        <w:rPr>
          <w:rFonts w:asciiTheme="majorHAnsi" w:hAnsiTheme="majorHAnsi"/>
          <w:b/>
          <w:sz w:val="22"/>
          <w:szCs w:val="22"/>
        </w:rPr>
        <w:t xml:space="preserve"> (</w:t>
      </w:r>
      <w:proofErr w:type="spellStart"/>
      <w:r w:rsidR="00CC6705" w:rsidRPr="00DB5AEE">
        <w:rPr>
          <w:rFonts w:asciiTheme="majorHAnsi" w:hAnsiTheme="majorHAnsi"/>
          <w:b/>
          <w:sz w:val="22"/>
          <w:szCs w:val="22"/>
        </w:rPr>
        <w:t>CeDARE</w:t>
      </w:r>
      <w:proofErr w:type="spellEnd"/>
      <w:r w:rsidR="00CC6705" w:rsidRPr="00DB5AEE">
        <w:rPr>
          <w:rFonts w:asciiTheme="majorHAnsi" w:hAnsiTheme="majorHAnsi"/>
          <w:b/>
          <w:sz w:val="22"/>
          <w:szCs w:val="22"/>
        </w:rPr>
        <w:t>):</w:t>
      </w:r>
      <w:r w:rsidR="00CC6705" w:rsidRPr="00DB5AEE">
        <w:rPr>
          <w:rFonts w:asciiTheme="majorHAnsi" w:hAnsiTheme="majorHAnsi"/>
          <w:sz w:val="22"/>
          <w:szCs w:val="22"/>
        </w:rPr>
        <w:t xml:space="preserve"> </w:t>
      </w:r>
      <w:hyperlink r:id="rId8" w:history="1">
        <w:r w:rsidR="00CC6705" w:rsidRPr="00DB5AEE">
          <w:rPr>
            <w:rStyle w:val="Hyperlink"/>
            <w:rFonts w:asciiTheme="majorHAnsi" w:hAnsiTheme="majorHAnsi"/>
            <w:sz w:val="22"/>
            <w:szCs w:val="22"/>
          </w:rPr>
          <w:t>http://www.wlv.ac.uk/default.aspx?page=25622</w:t>
        </w:r>
      </w:hyperlink>
    </w:p>
    <w:p w14:paraId="1239CD09" w14:textId="25B4592C" w:rsidR="00CC6705" w:rsidRPr="00DB5AEE" w:rsidRDefault="00CC6705">
      <w:pPr>
        <w:rPr>
          <w:rFonts w:asciiTheme="majorHAnsi" w:hAnsiTheme="majorHAnsi"/>
          <w:sz w:val="22"/>
          <w:szCs w:val="22"/>
        </w:rPr>
      </w:pPr>
      <w:r w:rsidRPr="00DB5AEE">
        <w:rPr>
          <w:rFonts w:asciiTheme="majorHAnsi" w:hAnsiTheme="majorHAnsi"/>
          <w:sz w:val="22"/>
          <w:szCs w:val="22"/>
        </w:rPr>
        <w:t xml:space="preserve">ITE across all sectors = Teach First etc. </w:t>
      </w:r>
      <w:proofErr w:type="gramStart"/>
      <w:r w:rsidRPr="00DB5AEE">
        <w:rPr>
          <w:rFonts w:asciiTheme="majorHAnsi" w:hAnsiTheme="majorHAnsi"/>
          <w:sz w:val="22"/>
          <w:szCs w:val="22"/>
        </w:rPr>
        <w:t>Ed D + MA Education.</w:t>
      </w:r>
      <w:proofErr w:type="gramEnd"/>
      <w:r w:rsidRPr="00DB5AEE">
        <w:rPr>
          <w:rFonts w:asciiTheme="majorHAnsi" w:hAnsiTheme="majorHAnsi"/>
          <w:sz w:val="22"/>
          <w:szCs w:val="22"/>
        </w:rPr>
        <w:t xml:space="preserve"> Four research themes, core focus on post compulsory, educational leadership, technology. Applied research methodologies. </w:t>
      </w:r>
      <w:proofErr w:type="gramStart"/>
      <w:r w:rsidRPr="00DB5AEE">
        <w:rPr>
          <w:rFonts w:asciiTheme="majorHAnsi" w:hAnsiTheme="majorHAnsi"/>
          <w:sz w:val="22"/>
          <w:szCs w:val="22"/>
        </w:rPr>
        <w:t>Professors and Readers in Education + Fellows + Education SL / PL staff.</w:t>
      </w:r>
      <w:proofErr w:type="gramEnd"/>
      <w:r w:rsidRPr="00DB5AEE">
        <w:rPr>
          <w:rFonts w:asciiTheme="majorHAnsi" w:hAnsiTheme="majorHAnsi"/>
          <w:sz w:val="22"/>
          <w:szCs w:val="22"/>
        </w:rPr>
        <w:t xml:space="preserve"> Emphasis on externally funded research projects with impact on policy, qualifications and professional practice.</w:t>
      </w:r>
      <w:r w:rsidR="00350B3F" w:rsidRPr="00DB5AEE">
        <w:rPr>
          <w:rFonts w:asciiTheme="majorHAnsi" w:hAnsiTheme="majorHAnsi"/>
          <w:sz w:val="22"/>
          <w:szCs w:val="22"/>
        </w:rPr>
        <w:t xml:space="preserve"> Scale is v different to BU but focus on CPD and professional practice could be similar? </w:t>
      </w:r>
      <w:r w:rsidR="00525255" w:rsidRPr="00DB5AEE">
        <w:rPr>
          <w:rFonts w:asciiTheme="majorHAnsi" w:hAnsiTheme="majorHAnsi"/>
          <w:sz w:val="22"/>
          <w:szCs w:val="22"/>
        </w:rPr>
        <w:t xml:space="preserve"> </w:t>
      </w:r>
    </w:p>
    <w:p w14:paraId="5EB27732" w14:textId="77777777" w:rsidR="00FD786C" w:rsidRPr="00DB5AEE" w:rsidRDefault="00FD786C">
      <w:pPr>
        <w:rPr>
          <w:rFonts w:asciiTheme="majorHAnsi" w:hAnsiTheme="majorHAnsi"/>
          <w:sz w:val="22"/>
          <w:szCs w:val="22"/>
        </w:rPr>
      </w:pPr>
    </w:p>
    <w:p w14:paraId="43EBAC76" w14:textId="7B4B1C5F" w:rsidR="00350B3F" w:rsidRPr="00DB5AEE" w:rsidRDefault="00FD786C">
      <w:pPr>
        <w:rPr>
          <w:rFonts w:asciiTheme="majorHAnsi" w:hAnsiTheme="majorHAnsi"/>
          <w:sz w:val="22"/>
          <w:szCs w:val="22"/>
        </w:rPr>
      </w:pPr>
      <w:r w:rsidRPr="00DB5AEE">
        <w:rPr>
          <w:rFonts w:asciiTheme="majorHAnsi" w:hAnsiTheme="majorHAnsi"/>
          <w:b/>
          <w:sz w:val="22"/>
          <w:szCs w:val="22"/>
        </w:rPr>
        <w:t>Institute of Education</w:t>
      </w:r>
      <w:r w:rsidRPr="00DB5AEE">
        <w:rPr>
          <w:rFonts w:asciiTheme="majorHAnsi" w:hAnsiTheme="majorHAnsi"/>
          <w:sz w:val="22"/>
          <w:szCs w:val="22"/>
        </w:rPr>
        <w:t xml:space="preserve"> </w:t>
      </w:r>
      <w:r w:rsidR="00350B3F" w:rsidRPr="00DB5AEE">
        <w:rPr>
          <w:rFonts w:asciiTheme="majorHAnsi" w:hAnsiTheme="majorHAnsi"/>
          <w:sz w:val="22"/>
          <w:szCs w:val="22"/>
        </w:rPr>
        <w:t xml:space="preserve">– </w:t>
      </w:r>
      <w:hyperlink r:id="rId9" w:history="1">
        <w:r w:rsidR="00350B3F" w:rsidRPr="00DB5AEE">
          <w:rPr>
            <w:rStyle w:val="Hyperlink"/>
            <w:rFonts w:asciiTheme="majorHAnsi" w:hAnsiTheme="majorHAnsi"/>
            <w:sz w:val="22"/>
            <w:szCs w:val="22"/>
          </w:rPr>
          <w:t>http://www.ioe.ac.uk/research.html</w:t>
        </w:r>
      </w:hyperlink>
    </w:p>
    <w:p w14:paraId="7F93976C" w14:textId="4EC6D599" w:rsidR="00FD786C" w:rsidRPr="00DB5AEE" w:rsidRDefault="00350B3F">
      <w:pPr>
        <w:rPr>
          <w:rFonts w:asciiTheme="majorHAnsi" w:hAnsiTheme="majorHAnsi"/>
          <w:sz w:val="22"/>
          <w:szCs w:val="22"/>
        </w:rPr>
      </w:pPr>
      <w:proofErr w:type="gramStart"/>
      <w:r w:rsidRPr="00DB5AEE">
        <w:rPr>
          <w:rFonts w:asciiTheme="majorHAnsi" w:hAnsiTheme="majorHAnsi"/>
          <w:sz w:val="22"/>
          <w:szCs w:val="22"/>
        </w:rPr>
        <w:t xml:space="preserve">Highest ranked research </w:t>
      </w:r>
      <w:proofErr w:type="spellStart"/>
      <w:r w:rsidRPr="00DB5AEE">
        <w:rPr>
          <w:rFonts w:asciiTheme="majorHAnsi" w:hAnsiTheme="majorHAnsi"/>
          <w:sz w:val="22"/>
          <w:szCs w:val="22"/>
        </w:rPr>
        <w:t>centre</w:t>
      </w:r>
      <w:proofErr w:type="spellEnd"/>
      <w:r w:rsidRPr="00DB5AEE">
        <w:rPr>
          <w:rFonts w:asciiTheme="majorHAnsi" w:hAnsiTheme="majorHAnsi"/>
          <w:sz w:val="22"/>
          <w:szCs w:val="22"/>
        </w:rPr>
        <w:t xml:space="preserve"> for education (RAE), 30 educational research </w:t>
      </w:r>
      <w:proofErr w:type="spellStart"/>
      <w:r w:rsidRPr="00DB5AEE">
        <w:rPr>
          <w:rFonts w:asciiTheme="majorHAnsi" w:hAnsiTheme="majorHAnsi"/>
          <w:sz w:val="22"/>
          <w:szCs w:val="22"/>
        </w:rPr>
        <w:t>centres</w:t>
      </w:r>
      <w:proofErr w:type="spellEnd"/>
      <w:r w:rsidRPr="00DB5AEE">
        <w:rPr>
          <w:rFonts w:asciiTheme="majorHAnsi" w:hAnsiTheme="majorHAnsi"/>
          <w:sz w:val="22"/>
          <w:szCs w:val="22"/>
        </w:rPr>
        <w:t>, range of ITE, MA, Doctoral and CPD provision.</w:t>
      </w:r>
      <w:proofErr w:type="gramEnd"/>
      <w:r w:rsidRPr="00DB5AEE">
        <w:rPr>
          <w:rFonts w:asciiTheme="majorHAnsi" w:hAnsiTheme="majorHAnsi"/>
          <w:sz w:val="22"/>
          <w:szCs w:val="22"/>
        </w:rPr>
        <w:t xml:space="preserve"> Now merging with UCL.  Niche research </w:t>
      </w:r>
      <w:proofErr w:type="spellStart"/>
      <w:r w:rsidRPr="00DB5AEE">
        <w:rPr>
          <w:rFonts w:asciiTheme="majorHAnsi" w:hAnsiTheme="majorHAnsi"/>
          <w:sz w:val="22"/>
          <w:szCs w:val="22"/>
        </w:rPr>
        <w:t>centres</w:t>
      </w:r>
      <w:proofErr w:type="spellEnd"/>
      <w:r w:rsidRPr="00DB5AEE">
        <w:rPr>
          <w:rFonts w:asciiTheme="majorHAnsi" w:hAnsiTheme="majorHAnsi"/>
          <w:sz w:val="22"/>
          <w:szCs w:val="22"/>
        </w:rPr>
        <w:t xml:space="preserve"> (</w:t>
      </w:r>
      <w:proofErr w:type="spellStart"/>
      <w:r w:rsidRPr="00DB5AEE">
        <w:rPr>
          <w:rFonts w:asciiTheme="majorHAnsi" w:hAnsiTheme="majorHAnsi"/>
          <w:sz w:val="22"/>
          <w:szCs w:val="22"/>
        </w:rPr>
        <w:t>eg</w:t>
      </w:r>
      <w:proofErr w:type="spellEnd"/>
      <w:r w:rsidRPr="00DB5AEE">
        <w:rPr>
          <w:rFonts w:asciiTheme="majorHAnsi" w:hAnsiTheme="majorHAnsi"/>
          <w:sz w:val="22"/>
          <w:szCs w:val="22"/>
        </w:rPr>
        <w:t xml:space="preserve"> Knowledge Lab - </w:t>
      </w:r>
      <w:hyperlink r:id="rId10" w:history="1">
        <w:r w:rsidRPr="00DB5AEE">
          <w:rPr>
            <w:rStyle w:val="Hyperlink"/>
            <w:rFonts w:asciiTheme="majorHAnsi" w:hAnsiTheme="majorHAnsi"/>
            <w:sz w:val="22"/>
            <w:szCs w:val="22"/>
          </w:rPr>
          <w:t>http://www.lkl.ac.uk/cms/index.php?option=com_frontpage&amp;Itemid=1</w:t>
        </w:r>
      </w:hyperlink>
      <w:r w:rsidRPr="00DB5AEE">
        <w:rPr>
          <w:rFonts w:asciiTheme="majorHAnsi" w:hAnsiTheme="majorHAnsi"/>
          <w:sz w:val="22"/>
          <w:szCs w:val="22"/>
        </w:rPr>
        <w:t xml:space="preserve"> and collaborative </w:t>
      </w:r>
      <w:proofErr w:type="spellStart"/>
      <w:r w:rsidRPr="00DB5AEE">
        <w:rPr>
          <w:rFonts w:asciiTheme="majorHAnsi" w:hAnsiTheme="majorHAnsi"/>
          <w:sz w:val="22"/>
          <w:szCs w:val="22"/>
        </w:rPr>
        <w:t>DaRE</w:t>
      </w:r>
      <w:proofErr w:type="spellEnd"/>
      <w:r w:rsidRPr="00DB5AEE">
        <w:rPr>
          <w:rFonts w:asciiTheme="majorHAnsi" w:hAnsiTheme="majorHAnsi"/>
          <w:sz w:val="22"/>
          <w:szCs w:val="22"/>
        </w:rPr>
        <w:t xml:space="preserve"> </w:t>
      </w:r>
      <w:proofErr w:type="spellStart"/>
      <w:r w:rsidRPr="00DB5AEE">
        <w:rPr>
          <w:rFonts w:asciiTheme="majorHAnsi" w:hAnsiTheme="majorHAnsi"/>
          <w:sz w:val="22"/>
          <w:szCs w:val="22"/>
        </w:rPr>
        <w:t>intitative</w:t>
      </w:r>
      <w:proofErr w:type="spellEnd"/>
      <w:r w:rsidRPr="00DB5AEE">
        <w:rPr>
          <w:rFonts w:asciiTheme="majorHAnsi" w:hAnsiTheme="majorHAnsi"/>
          <w:sz w:val="22"/>
          <w:szCs w:val="22"/>
        </w:rPr>
        <w:t xml:space="preserve"> - http://darecollaborative.net/could be a model?). </w:t>
      </w:r>
    </w:p>
    <w:p w14:paraId="3CFD3F0D" w14:textId="44154EF2" w:rsidR="00350B3F" w:rsidRPr="00DB5AEE" w:rsidRDefault="00350B3F">
      <w:pPr>
        <w:rPr>
          <w:rFonts w:asciiTheme="majorHAnsi" w:hAnsiTheme="majorHAnsi"/>
          <w:i/>
          <w:sz w:val="22"/>
          <w:szCs w:val="22"/>
        </w:rPr>
      </w:pPr>
      <w:r w:rsidRPr="00DB5AEE">
        <w:rPr>
          <w:rFonts w:asciiTheme="majorHAnsi" w:hAnsiTheme="majorHAnsi"/>
          <w:i/>
          <w:sz w:val="22"/>
          <w:szCs w:val="22"/>
        </w:rPr>
        <w:t xml:space="preserve">NB - CEMP have links with knowledge lab and </w:t>
      </w:r>
      <w:proofErr w:type="spellStart"/>
      <w:r w:rsidRPr="00DB5AEE">
        <w:rPr>
          <w:rFonts w:asciiTheme="majorHAnsi" w:hAnsiTheme="majorHAnsi"/>
          <w:i/>
          <w:sz w:val="22"/>
          <w:szCs w:val="22"/>
        </w:rPr>
        <w:t>DaRE</w:t>
      </w:r>
      <w:proofErr w:type="spellEnd"/>
      <w:r w:rsidRPr="00DB5AEE">
        <w:rPr>
          <w:rFonts w:asciiTheme="majorHAnsi" w:hAnsiTheme="majorHAnsi"/>
          <w:i/>
          <w:sz w:val="22"/>
          <w:szCs w:val="22"/>
        </w:rPr>
        <w:t xml:space="preserve">.  </w:t>
      </w:r>
    </w:p>
    <w:p w14:paraId="5C24F767" w14:textId="77777777" w:rsidR="00FD786C" w:rsidRPr="00DB5AEE" w:rsidRDefault="00FD786C">
      <w:pPr>
        <w:rPr>
          <w:rFonts w:asciiTheme="majorHAnsi" w:hAnsiTheme="majorHAnsi"/>
          <w:sz w:val="22"/>
          <w:szCs w:val="22"/>
        </w:rPr>
      </w:pPr>
    </w:p>
    <w:p w14:paraId="11341D49" w14:textId="05ED0090" w:rsidR="00FD786C" w:rsidRPr="00DB5AEE" w:rsidRDefault="00FD786C">
      <w:pPr>
        <w:rPr>
          <w:rFonts w:asciiTheme="majorHAnsi" w:hAnsiTheme="majorHAnsi"/>
          <w:b/>
          <w:sz w:val="22"/>
          <w:szCs w:val="22"/>
        </w:rPr>
      </w:pPr>
      <w:r w:rsidRPr="00DB5AEE">
        <w:rPr>
          <w:rFonts w:asciiTheme="majorHAnsi" w:hAnsiTheme="majorHAnsi"/>
          <w:b/>
          <w:sz w:val="22"/>
          <w:szCs w:val="22"/>
        </w:rPr>
        <w:t xml:space="preserve">University of the Arts, London </w:t>
      </w:r>
      <w:hyperlink r:id="rId11" w:history="1">
        <w:r w:rsidR="00350B3F" w:rsidRPr="00DB5AEE">
          <w:rPr>
            <w:rStyle w:val="Hyperlink"/>
            <w:rFonts w:asciiTheme="majorHAnsi" w:hAnsiTheme="majorHAnsi"/>
            <w:b/>
            <w:sz w:val="22"/>
            <w:szCs w:val="22"/>
          </w:rPr>
          <w:t>http://www.arts.ac.uk/research/research-impact/</w:t>
        </w:r>
      </w:hyperlink>
    </w:p>
    <w:p w14:paraId="4FD43D5F" w14:textId="73162210" w:rsidR="00350B3F" w:rsidRPr="00DB5AEE" w:rsidRDefault="00350B3F">
      <w:pPr>
        <w:rPr>
          <w:rFonts w:asciiTheme="majorHAnsi" w:hAnsiTheme="majorHAnsi"/>
          <w:i/>
          <w:sz w:val="22"/>
          <w:szCs w:val="22"/>
        </w:rPr>
      </w:pPr>
      <w:r w:rsidRPr="00DB5AEE">
        <w:rPr>
          <w:rFonts w:asciiTheme="majorHAnsi" w:hAnsiTheme="majorHAnsi"/>
          <w:sz w:val="22"/>
          <w:szCs w:val="22"/>
        </w:rPr>
        <w:t xml:space="preserve">In some respects similar in that lots of arts educational research takes place but they do not appear to have an educational research </w:t>
      </w:r>
      <w:proofErr w:type="spellStart"/>
      <w:r w:rsidRPr="00DB5AEE">
        <w:rPr>
          <w:rFonts w:asciiTheme="majorHAnsi" w:hAnsiTheme="majorHAnsi"/>
          <w:sz w:val="22"/>
          <w:szCs w:val="22"/>
        </w:rPr>
        <w:t>centre</w:t>
      </w:r>
      <w:proofErr w:type="spellEnd"/>
      <w:r w:rsidRPr="00DB5AEE">
        <w:rPr>
          <w:rFonts w:asciiTheme="majorHAnsi" w:hAnsiTheme="majorHAnsi"/>
          <w:sz w:val="22"/>
          <w:szCs w:val="22"/>
        </w:rPr>
        <w:t xml:space="preserve"> presently. </w:t>
      </w:r>
      <w:r w:rsidRPr="00DB5AEE">
        <w:rPr>
          <w:rFonts w:asciiTheme="majorHAnsi" w:hAnsiTheme="majorHAnsi"/>
          <w:i/>
          <w:sz w:val="22"/>
          <w:szCs w:val="22"/>
        </w:rPr>
        <w:t xml:space="preserve">NB- CEMP Visiting Professor Susan Orr is Dean on Teaching and Learning – could be opportunity for cross-institutional collaboration? </w:t>
      </w:r>
    </w:p>
    <w:p w14:paraId="17543E75" w14:textId="77777777" w:rsidR="00FD786C" w:rsidRPr="00DB5AEE" w:rsidRDefault="00FD786C">
      <w:pPr>
        <w:rPr>
          <w:rFonts w:asciiTheme="majorHAnsi" w:hAnsiTheme="majorHAnsi"/>
          <w:sz w:val="22"/>
          <w:szCs w:val="22"/>
        </w:rPr>
      </w:pPr>
    </w:p>
    <w:p w14:paraId="0D11107B" w14:textId="3EC9066B" w:rsidR="001B0DE6" w:rsidRPr="00DB5AEE" w:rsidRDefault="00AF070D">
      <w:pPr>
        <w:rPr>
          <w:rFonts w:asciiTheme="majorHAnsi" w:hAnsiTheme="majorHAnsi"/>
          <w:sz w:val="22"/>
          <w:szCs w:val="22"/>
        </w:rPr>
      </w:pPr>
      <w:r w:rsidRPr="00DB5AEE">
        <w:rPr>
          <w:rFonts w:asciiTheme="majorHAnsi" w:hAnsiTheme="majorHAnsi"/>
          <w:b/>
          <w:sz w:val="22"/>
          <w:szCs w:val="22"/>
        </w:rPr>
        <w:t>Leicester University</w:t>
      </w:r>
      <w:r w:rsidRPr="00DB5AEE">
        <w:rPr>
          <w:rFonts w:asciiTheme="majorHAnsi" w:hAnsiTheme="majorHAnsi"/>
          <w:sz w:val="22"/>
          <w:szCs w:val="22"/>
        </w:rPr>
        <w:t xml:space="preserve"> </w:t>
      </w:r>
      <w:r w:rsidR="00350B3F" w:rsidRPr="00DB5AEE">
        <w:rPr>
          <w:rFonts w:asciiTheme="majorHAnsi" w:hAnsiTheme="majorHAnsi"/>
          <w:sz w:val="22"/>
          <w:szCs w:val="22"/>
        </w:rPr>
        <w:t xml:space="preserve">– </w:t>
      </w:r>
      <w:hyperlink r:id="rId12" w:history="1">
        <w:r w:rsidR="001B0DE6" w:rsidRPr="00DB5AEE">
          <w:rPr>
            <w:rStyle w:val="Hyperlink"/>
            <w:rFonts w:asciiTheme="majorHAnsi" w:hAnsiTheme="majorHAnsi"/>
            <w:sz w:val="22"/>
            <w:szCs w:val="22"/>
          </w:rPr>
          <w:t>http://www2.le.ac.uk/departments/education/research</w:t>
        </w:r>
      </w:hyperlink>
    </w:p>
    <w:p w14:paraId="15ECC62E" w14:textId="2846F479" w:rsidR="00FD786C" w:rsidRPr="00DB5AEE" w:rsidRDefault="00350B3F">
      <w:pPr>
        <w:rPr>
          <w:rFonts w:asciiTheme="majorHAnsi" w:hAnsiTheme="majorHAnsi"/>
          <w:sz w:val="22"/>
          <w:szCs w:val="22"/>
        </w:rPr>
      </w:pPr>
      <w:r w:rsidRPr="00DB5AEE">
        <w:rPr>
          <w:rFonts w:asciiTheme="majorHAnsi" w:hAnsiTheme="majorHAnsi"/>
          <w:sz w:val="22"/>
          <w:szCs w:val="22"/>
        </w:rPr>
        <w:t xml:space="preserve">Russell Group, established, </w:t>
      </w:r>
      <w:proofErr w:type="gramStart"/>
      <w:r w:rsidRPr="00DB5AEE">
        <w:rPr>
          <w:rFonts w:asciiTheme="majorHAnsi" w:hAnsiTheme="majorHAnsi"/>
          <w:sz w:val="22"/>
          <w:szCs w:val="22"/>
        </w:rPr>
        <w:t>world class</w:t>
      </w:r>
      <w:proofErr w:type="gramEnd"/>
      <w:r w:rsidRPr="00DB5AEE">
        <w:rPr>
          <w:rFonts w:asciiTheme="majorHAnsi" w:hAnsiTheme="majorHAnsi"/>
          <w:sz w:val="22"/>
          <w:szCs w:val="22"/>
        </w:rPr>
        <w:t xml:space="preserve"> reputation. </w:t>
      </w:r>
      <w:r w:rsidR="001B0DE6" w:rsidRPr="00DB5AEE">
        <w:rPr>
          <w:rFonts w:asciiTheme="majorHAnsi" w:hAnsiTheme="majorHAnsi"/>
          <w:sz w:val="22"/>
          <w:szCs w:val="22"/>
        </w:rPr>
        <w:t xml:space="preserve"> Several research groups, covering diverse themes – possible due to scale. All sectors covered with ITE, PG and Doctoral provision. Substantial funded projects with impact on policy and practice. </w:t>
      </w:r>
    </w:p>
    <w:p w14:paraId="377B849D" w14:textId="77777777" w:rsidR="00FD786C" w:rsidRPr="00DB5AEE" w:rsidRDefault="00FD786C">
      <w:pPr>
        <w:rPr>
          <w:rFonts w:asciiTheme="majorHAnsi" w:hAnsiTheme="majorHAnsi"/>
          <w:b/>
          <w:sz w:val="22"/>
          <w:szCs w:val="22"/>
        </w:rPr>
      </w:pPr>
    </w:p>
    <w:p w14:paraId="189B53D4" w14:textId="05FF5241" w:rsidR="00EC258C" w:rsidRPr="00DB5AEE" w:rsidRDefault="001B0DE6">
      <w:pPr>
        <w:rPr>
          <w:rFonts w:asciiTheme="majorHAnsi" w:hAnsiTheme="majorHAnsi"/>
          <w:b/>
          <w:sz w:val="22"/>
          <w:szCs w:val="22"/>
        </w:rPr>
      </w:pPr>
      <w:r w:rsidRPr="00DB5AEE">
        <w:rPr>
          <w:rFonts w:asciiTheme="majorHAnsi" w:hAnsiTheme="majorHAnsi"/>
          <w:b/>
          <w:sz w:val="22"/>
          <w:szCs w:val="22"/>
        </w:rPr>
        <w:t xml:space="preserve">University of </w:t>
      </w:r>
      <w:r w:rsidR="00AF070D" w:rsidRPr="00DB5AEE">
        <w:rPr>
          <w:rFonts w:asciiTheme="majorHAnsi" w:hAnsiTheme="majorHAnsi"/>
          <w:b/>
          <w:sz w:val="22"/>
          <w:szCs w:val="22"/>
        </w:rPr>
        <w:t xml:space="preserve">Hull </w:t>
      </w:r>
      <w:r w:rsidRPr="00DB5AEE">
        <w:rPr>
          <w:rFonts w:asciiTheme="majorHAnsi" w:hAnsiTheme="majorHAnsi"/>
          <w:b/>
          <w:sz w:val="22"/>
          <w:szCs w:val="22"/>
        </w:rPr>
        <w:t xml:space="preserve">- </w:t>
      </w:r>
      <w:hyperlink r:id="rId13" w:history="1">
        <w:r w:rsidRPr="00DB5AEE">
          <w:rPr>
            <w:rStyle w:val="Hyperlink"/>
            <w:rFonts w:asciiTheme="majorHAnsi" w:hAnsiTheme="majorHAnsi"/>
            <w:b/>
            <w:sz w:val="22"/>
            <w:szCs w:val="22"/>
          </w:rPr>
          <w:t>http://www2.hull.ac.uk/education/research1.aspx</w:t>
        </w:r>
      </w:hyperlink>
    </w:p>
    <w:p w14:paraId="72881CD6" w14:textId="63D791B7" w:rsidR="001B0DE6" w:rsidRPr="00DB5AEE" w:rsidRDefault="001B0DE6">
      <w:pPr>
        <w:rPr>
          <w:rFonts w:asciiTheme="majorHAnsi" w:hAnsiTheme="majorHAnsi"/>
          <w:sz w:val="22"/>
          <w:szCs w:val="22"/>
        </w:rPr>
      </w:pPr>
      <w:r w:rsidRPr="00DB5AEE">
        <w:rPr>
          <w:rFonts w:asciiTheme="majorHAnsi" w:hAnsiTheme="majorHAnsi"/>
          <w:sz w:val="22"/>
          <w:szCs w:val="22"/>
        </w:rPr>
        <w:t xml:space="preserve">Three research themes, similar in profiles to our interests potentially – technology, professional practice.  All areas covered with ITE, PG and Doctoral. </w:t>
      </w:r>
    </w:p>
    <w:p w14:paraId="19EBA8DC" w14:textId="77777777" w:rsidR="00AF070D" w:rsidRPr="00DB5AEE" w:rsidRDefault="00AF070D">
      <w:pPr>
        <w:rPr>
          <w:rFonts w:asciiTheme="majorHAnsi" w:hAnsiTheme="majorHAnsi"/>
          <w:sz w:val="22"/>
          <w:szCs w:val="22"/>
        </w:rPr>
      </w:pPr>
    </w:p>
    <w:p w14:paraId="71F88122" w14:textId="77777777" w:rsidR="00AF070D" w:rsidRPr="00DB5AEE" w:rsidRDefault="00AF070D">
      <w:pPr>
        <w:rPr>
          <w:rFonts w:asciiTheme="majorHAnsi" w:hAnsiTheme="majorHAnsi"/>
          <w:sz w:val="22"/>
          <w:szCs w:val="22"/>
        </w:rPr>
      </w:pPr>
    </w:p>
    <w:p w14:paraId="657EF268" w14:textId="7D9E9F2F" w:rsidR="00AF070D" w:rsidRPr="00DB5AEE" w:rsidRDefault="001E65B0">
      <w:pPr>
        <w:rPr>
          <w:rFonts w:asciiTheme="majorHAnsi" w:hAnsiTheme="majorHAnsi"/>
          <w:sz w:val="22"/>
          <w:szCs w:val="22"/>
        </w:rPr>
      </w:pPr>
      <w:r w:rsidRPr="00DB5AEE">
        <w:rPr>
          <w:rFonts w:asciiTheme="majorHAnsi" w:hAnsiTheme="majorHAnsi"/>
          <w:b/>
          <w:sz w:val="22"/>
          <w:szCs w:val="22"/>
        </w:rPr>
        <w:t>Southampton University</w:t>
      </w:r>
      <w:r w:rsidRPr="00DB5AEE">
        <w:rPr>
          <w:rFonts w:asciiTheme="majorHAnsi" w:hAnsiTheme="majorHAnsi"/>
          <w:sz w:val="22"/>
          <w:szCs w:val="22"/>
        </w:rPr>
        <w:t xml:space="preserve"> </w:t>
      </w:r>
      <w:r w:rsidR="001B0DE6" w:rsidRPr="00DB5AEE">
        <w:rPr>
          <w:rFonts w:asciiTheme="majorHAnsi" w:hAnsiTheme="majorHAnsi"/>
          <w:sz w:val="22"/>
          <w:szCs w:val="22"/>
        </w:rPr>
        <w:t xml:space="preserve">- </w:t>
      </w:r>
      <w:hyperlink r:id="rId14" w:history="1">
        <w:r w:rsidR="001B0DE6" w:rsidRPr="00DB5AEE">
          <w:rPr>
            <w:rStyle w:val="Hyperlink"/>
            <w:rFonts w:asciiTheme="majorHAnsi" w:hAnsiTheme="majorHAnsi"/>
            <w:sz w:val="22"/>
            <w:szCs w:val="22"/>
          </w:rPr>
          <w:t>http://www.southampton.ac.uk/education/research/centres.page</w:t>
        </w:r>
      </w:hyperlink>
      <w:r w:rsidR="001B0DE6" w:rsidRPr="00DB5AEE">
        <w:rPr>
          <w:rFonts w:asciiTheme="majorHAnsi" w:hAnsiTheme="majorHAnsi"/>
          <w:sz w:val="22"/>
          <w:szCs w:val="22"/>
        </w:rPr>
        <w:t>?</w:t>
      </w:r>
    </w:p>
    <w:p w14:paraId="1425A2CA" w14:textId="44CA17FD" w:rsidR="001B0DE6" w:rsidRPr="00DB5AEE" w:rsidRDefault="001B0DE6">
      <w:pPr>
        <w:rPr>
          <w:rFonts w:asciiTheme="majorHAnsi" w:hAnsiTheme="majorHAnsi"/>
          <w:sz w:val="22"/>
          <w:szCs w:val="22"/>
        </w:rPr>
      </w:pPr>
      <w:r w:rsidRPr="00DB5AEE">
        <w:rPr>
          <w:rFonts w:asciiTheme="majorHAnsi" w:hAnsiTheme="majorHAnsi"/>
          <w:sz w:val="22"/>
          <w:szCs w:val="22"/>
        </w:rPr>
        <w:t xml:space="preserve">Large scale, 4 research </w:t>
      </w:r>
      <w:proofErr w:type="spellStart"/>
      <w:r w:rsidRPr="00DB5AEE">
        <w:rPr>
          <w:rFonts w:asciiTheme="majorHAnsi" w:hAnsiTheme="majorHAnsi"/>
          <w:sz w:val="22"/>
          <w:szCs w:val="22"/>
        </w:rPr>
        <w:t>centres</w:t>
      </w:r>
      <w:proofErr w:type="spellEnd"/>
      <w:r w:rsidRPr="00DB5AEE">
        <w:rPr>
          <w:rFonts w:asciiTheme="majorHAnsi" w:hAnsiTheme="majorHAnsi"/>
          <w:sz w:val="22"/>
          <w:szCs w:val="22"/>
        </w:rPr>
        <w:t>, 1 discipline based (</w:t>
      </w:r>
      <w:proofErr w:type="spellStart"/>
      <w:r w:rsidRPr="00DB5AEE">
        <w:rPr>
          <w:rFonts w:asciiTheme="majorHAnsi" w:hAnsiTheme="majorHAnsi"/>
          <w:sz w:val="22"/>
          <w:szCs w:val="22"/>
        </w:rPr>
        <w:t>Maths</w:t>
      </w:r>
      <w:proofErr w:type="spellEnd"/>
      <w:r w:rsidRPr="00DB5AEE">
        <w:rPr>
          <w:rFonts w:asciiTheme="majorHAnsi" w:hAnsiTheme="majorHAnsi"/>
          <w:sz w:val="22"/>
          <w:szCs w:val="22"/>
        </w:rPr>
        <w:t xml:space="preserve"> and Science). </w:t>
      </w:r>
      <w:proofErr w:type="gramStart"/>
      <w:r w:rsidRPr="00DB5AEE">
        <w:rPr>
          <w:rFonts w:asciiTheme="majorHAnsi" w:hAnsiTheme="majorHAnsi"/>
          <w:sz w:val="22"/>
          <w:szCs w:val="22"/>
        </w:rPr>
        <w:t>Emphasis on major funded projects + research environment for doctoral students.</w:t>
      </w:r>
      <w:proofErr w:type="gramEnd"/>
      <w:r w:rsidRPr="00DB5AEE">
        <w:rPr>
          <w:rFonts w:asciiTheme="majorHAnsi" w:hAnsiTheme="majorHAnsi"/>
          <w:sz w:val="22"/>
          <w:szCs w:val="22"/>
        </w:rPr>
        <w:t xml:space="preserve"> All areas covered with ITE, PG and Doctoral / Ed D. </w:t>
      </w:r>
    </w:p>
    <w:p w14:paraId="52B221B5" w14:textId="77777777" w:rsidR="001E65B0" w:rsidRPr="00DB5AEE" w:rsidRDefault="001E65B0">
      <w:pPr>
        <w:rPr>
          <w:rFonts w:asciiTheme="majorHAnsi" w:hAnsiTheme="majorHAnsi"/>
          <w:sz w:val="22"/>
          <w:szCs w:val="22"/>
        </w:rPr>
      </w:pPr>
    </w:p>
    <w:p w14:paraId="355A9906" w14:textId="77777777" w:rsidR="00420EC5" w:rsidRPr="00DB5AEE" w:rsidRDefault="00420EC5">
      <w:pPr>
        <w:rPr>
          <w:rFonts w:asciiTheme="majorHAnsi" w:hAnsiTheme="majorHAnsi"/>
          <w:sz w:val="22"/>
          <w:szCs w:val="22"/>
        </w:rPr>
      </w:pPr>
    </w:p>
    <w:p w14:paraId="65FA05A0" w14:textId="715527BC" w:rsidR="00420EC5" w:rsidRPr="00DB5AEE" w:rsidRDefault="00420EC5">
      <w:pPr>
        <w:rPr>
          <w:rFonts w:asciiTheme="majorHAnsi" w:hAnsiTheme="majorHAnsi"/>
          <w:b/>
          <w:sz w:val="22"/>
          <w:szCs w:val="22"/>
        </w:rPr>
      </w:pPr>
      <w:r w:rsidRPr="00DB5AEE">
        <w:rPr>
          <w:rFonts w:asciiTheme="majorHAnsi" w:hAnsiTheme="majorHAnsi"/>
          <w:b/>
          <w:sz w:val="22"/>
          <w:szCs w:val="22"/>
        </w:rPr>
        <w:t>Sheffield</w:t>
      </w:r>
      <w:r w:rsidR="001B0DE6" w:rsidRPr="00DB5AEE">
        <w:rPr>
          <w:rFonts w:asciiTheme="majorHAnsi" w:hAnsiTheme="majorHAnsi"/>
          <w:b/>
          <w:sz w:val="22"/>
          <w:szCs w:val="22"/>
        </w:rPr>
        <w:t xml:space="preserve"> University </w:t>
      </w:r>
      <w:hyperlink r:id="rId15" w:history="1">
        <w:r w:rsidR="001B0DE6" w:rsidRPr="00DB5AEE">
          <w:rPr>
            <w:rStyle w:val="Hyperlink"/>
            <w:rFonts w:asciiTheme="majorHAnsi" w:hAnsiTheme="majorHAnsi"/>
            <w:b/>
            <w:sz w:val="22"/>
            <w:szCs w:val="22"/>
          </w:rPr>
          <w:t>http://www.sheffield.ac.uk/education/research</w:t>
        </w:r>
      </w:hyperlink>
    </w:p>
    <w:p w14:paraId="6EB388FB" w14:textId="4F27D443" w:rsidR="001B0DE6" w:rsidRPr="00DB5AEE" w:rsidRDefault="001B0DE6">
      <w:pPr>
        <w:rPr>
          <w:rFonts w:asciiTheme="majorHAnsi" w:hAnsiTheme="majorHAnsi"/>
          <w:sz w:val="22"/>
          <w:szCs w:val="22"/>
        </w:rPr>
      </w:pPr>
      <w:r w:rsidRPr="00DB5AEE">
        <w:rPr>
          <w:rFonts w:asciiTheme="majorHAnsi" w:hAnsiTheme="majorHAnsi"/>
          <w:sz w:val="22"/>
          <w:szCs w:val="22"/>
        </w:rPr>
        <w:t xml:space="preserve">Large scale, </w:t>
      </w:r>
      <w:proofErr w:type="gramStart"/>
      <w:r w:rsidRPr="00DB5AEE">
        <w:rPr>
          <w:rFonts w:asciiTheme="majorHAnsi" w:hAnsiTheme="majorHAnsi"/>
          <w:sz w:val="22"/>
          <w:szCs w:val="22"/>
        </w:rPr>
        <w:t>world class</w:t>
      </w:r>
      <w:proofErr w:type="gramEnd"/>
      <w:r w:rsidRPr="00DB5AEE">
        <w:rPr>
          <w:rFonts w:asciiTheme="majorHAnsi" w:hAnsiTheme="majorHAnsi"/>
          <w:sz w:val="22"/>
          <w:szCs w:val="22"/>
        </w:rPr>
        <w:t xml:space="preserve"> reputation, high impact. Four research </w:t>
      </w:r>
      <w:proofErr w:type="spellStart"/>
      <w:r w:rsidRPr="00DB5AEE">
        <w:rPr>
          <w:rFonts w:asciiTheme="majorHAnsi" w:hAnsiTheme="majorHAnsi"/>
          <w:sz w:val="22"/>
          <w:szCs w:val="22"/>
        </w:rPr>
        <w:t>centres</w:t>
      </w:r>
      <w:proofErr w:type="spellEnd"/>
      <w:r w:rsidRPr="00DB5AEE">
        <w:rPr>
          <w:rFonts w:asciiTheme="majorHAnsi" w:hAnsiTheme="majorHAnsi"/>
          <w:sz w:val="22"/>
          <w:szCs w:val="22"/>
        </w:rPr>
        <w:t xml:space="preserve">, covering diverse areas (early years, HE educational </w:t>
      </w:r>
      <w:proofErr w:type="spellStart"/>
      <w:r w:rsidRPr="00DB5AEE">
        <w:rPr>
          <w:rFonts w:asciiTheme="majorHAnsi" w:hAnsiTheme="majorHAnsi"/>
          <w:sz w:val="22"/>
          <w:szCs w:val="22"/>
        </w:rPr>
        <w:t>reseach</w:t>
      </w:r>
      <w:proofErr w:type="spellEnd"/>
      <w:r w:rsidRPr="00DB5AEE">
        <w:rPr>
          <w:rFonts w:asciiTheme="majorHAnsi" w:hAnsiTheme="majorHAnsi"/>
          <w:sz w:val="22"/>
          <w:szCs w:val="22"/>
        </w:rPr>
        <w:t xml:space="preserve">, literacy research, professional enquiry). All areas covered with ITE, PG and Doctoral + large Ed D </w:t>
      </w:r>
      <w:proofErr w:type="spellStart"/>
      <w:r w:rsidRPr="00DB5AEE">
        <w:rPr>
          <w:rFonts w:asciiTheme="majorHAnsi" w:hAnsiTheme="majorHAnsi"/>
          <w:sz w:val="22"/>
          <w:szCs w:val="22"/>
        </w:rPr>
        <w:t>programme</w:t>
      </w:r>
      <w:proofErr w:type="spellEnd"/>
      <w:r w:rsidRPr="00DB5AEE">
        <w:rPr>
          <w:rFonts w:asciiTheme="majorHAnsi" w:hAnsiTheme="majorHAnsi"/>
          <w:sz w:val="22"/>
          <w:szCs w:val="22"/>
        </w:rPr>
        <w:t xml:space="preserve"> with multiple strands.  </w:t>
      </w:r>
    </w:p>
    <w:p w14:paraId="1807116A" w14:textId="7BBE021F" w:rsidR="001B0DE6" w:rsidRPr="00DB5AEE" w:rsidRDefault="001B0DE6">
      <w:pPr>
        <w:rPr>
          <w:rFonts w:asciiTheme="majorHAnsi" w:hAnsiTheme="majorHAnsi"/>
          <w:sz w:val="22"/>
          <w:szCs w:val="22"/>
        </w:rPr>
      </w:pPr>
      <w:r w:rsidRPr="00DB5AEE">
        <w:rPr>
          <w:rFonts w:asciiTheme="majorHAnsi" w:hAnsiTheme="majorHAnsi"/>
          <w:sz w:val="22"/>
          <w:szCs w:val="22"/>
        </w:rPr>
        <w:t xml:space="preserve">NB – Julian has visiting role </w:t>
      </w:r>
      <w:proofErr w:type="gramStart"/>
      <w:r w:rsidRPr="00DB5AEE">
        <w:rPr>
          <w:rFonts w:asciiTheme="majorHAnsi" w:hAnsiTheme="majorHAnsi"/>
          <w:sz w:val="22"/>
          <w:szCs w:val="22"/>
        </w:rPr>
        <w:t>here,</w:t>
      </w:r>
      <w:proofErr w:type="gramEnd"/>
      <w:r w:rsidRPr="00DB5AEE">
        <w:rPr>
          <w:rFonts w:asciiTheme="majorHAnsi" w:hAnsiTheme="majorHAnsi"/>
          <w:sz w:val="22"/>
          <w:szCs w:val="22"/>
        </w:rPr>
        <w:t xml:space="preserve"> links with the literacy research </w:t>
      </w:r>
      <w:proofErr w:type="spellStart"/>
      <w:r w:rsidRPr="00DB5AEE">
        <w:rPr>
          <w:rFonts w:asciiTheme="majorHAnsi" w:hAnsiTheme="majorHAnsi"/>
          <w:sz w:val="22"/>
          <w:szCs w:val="22"/>
        </w:rPr>
        <w:t>centre</w:t>
      </w:r>
      <w:proofErr w:type="spellEnd"/>
      <w:r w:rsidRPr="00DB5AEE">
        <w:rPr>
          <w:rFonts w:asciiTheme="majorHAnsi" w:hAnsiTheme="majorHAnsi"/>
          <w:sz w:val="22"/>
          <w:szCs w:val="22"/>
        </w:rPr>
        <w:t xml:space="preserve"> and teaches on Ed D. </w:t>
      </w:r>
    </w:p>
    <w:p w14:paraId="43B6C722" w14:textId="77777777" w:rsidR="00420EC5" w:rsidRPr="00DB5AEE" w:rsidRDefault="00420EC5">
      <w:pPr>
        <w:rPr>
          <w:rFonts w:asciiTheme="majorHAnsi" w:hAnsiTheme="majorHAnsi"/>
          <w:sz w:val="22"/>
          <w:szCs w:val="22"/>
        </w:rPr>
      </w:pPr>
    </w:p>
    <w:p w14:paraId="2CBC0BF4" w14:textId="55E94553" w:rsidR="00420EC5" w:rsidRPr="00DB5AEE" w:rsidRDefault="00420EC5">
      <w:pPr>
        <w:rPr>
          <w:rFonts w:asciiTheme="majorHAnsi" w:hAnsiTheme="majorHAnsi"/>
          <w:sz w:val="22"/>
          <w:szCs w:val="22"/>
        </w:rPr>
      </w:pPr>
      <w:r w:rsidRPr="00DB5AEE">
        <w:rPr>
          <w:rFonts w:asciiTheme="majorHAnsi" w:hAnsiTheme="majorHAnsi"/>
          <w:b/>
          <w:sz w:val="22"/>
          <w:szCs w:val="22"/>
        </w:rPr>
        <w:t xml:space="preserve">Exeter </w:t>
      </w:r>
      <w:r w:rsidR="00481CD5" w:rsidRPr="00DB5AEE">
        <w:rPr>
          <w:rFonts w:asciiTheme="majorHAnsi" w:hAnsiTheme="majorHAnsi"/>
          <w:b/>
          <w:sz w:val="22"/>
          <w:szCs w:val="22"/>
        </w:rPr>
        <w:t>University</w:t>
      </w:r>
      <w:r w:rsidR="00481CD5" w:rsidRPr="00DB5AEE">
        <w:rPr>
          <w:rFonts w:asciiTheme="majorHAnsi" w:hAnsiTheme="majorHAnsi"/>
          <w:sz w:val="22"/>
          <w:szCs w:val="22"/>
        </w:rPr>
        <w:t xml:space="preserve"> - </w:t>
      </w:r>
      <w:hyperlink r:id="rId16" w:history="1">
        <w:r w:rsidR="00481CD5" w:rsidRPr="00DB5AEE">
          <w:rPr>
            <w:rStyle w:val="Hyperlink"/>
            <w:rFonts w:asciiTheme="majorHAnsi" w:hAnsiTheme="majorHAnsi"/>
            <w:sz w:val="22"/>
            <w:szCs w:val="22"/>
          </w:rPr>
          <w:t>http://socialsciences.exeter.ac.uk/education/research/centres/</w:t>
        </w:r>
      </w:hyperlink>
    </w:p>
    <w:p w14:paraId="551CD641" w14:textId="168E34A7" w:rsidR="00481CD5" w:rsidRPr="00DB5AEE" w:rsidRDefault="00481CD5">
      <w:pPr>
        <w:rPr>
          <w:rFonts w:asciiTheme="majorHAnsi" w:hAnsiTheme="majorHAnsi"/>
          <w:sz w:val="22"/>
          <w:szCs w:val="22"/>
        </w:rPr>
      </w:pPr>
      <w:r w:rsidRPr="00DB5AEE">
        <w:rPr>
          <w:rFonts w:asciiTheme="majorHAnsi" w:hAnsiTheme="majorHAnsi"/>
          <w:sz w:val="22"/>
          <w:szCs w:val="22"/>
        </w:rPr>
        <w:t xml:space="preserve">Five distinct but interdisciplinary research </w:t>
      </w:r>
      <w:proofErr w:type="spellStart"/>
      <w:r w:rsidRPr="00DB5AEE">
        <w:rPr>
          <w:rFonts w:asciiTheme="majorHAnsi" w:hAnsiTheme="majorHAnsi"/>
          <w:sz w:val="22"/>
          <w:szCs w:val="22"/>
        </w:rPr>
        <w:t>centres</w:t>
      </w:r>
      <w:proofErr w:type="spellEnd"/>
      <w:r w:rsidRPr="00DB5AEE">
        <w:rPr>
          <w:rFonts w:asciiTheme="majorHAnsi" w:hAnsiTheme="majorHAnsi"/>
          <w:sz w:val="22"/>
          <w:szCs w:val="22"/>
        </w:rPr>
        <w:t xml:space="preserve"> – writing, HE, STEM, SEN, thinking &amp; dialogue. All areas covered with ITE, PG and Doc / Ed D. </w:t>
      </w:r>
    </w:p>
    <w:p w14:paraId="452348E3" w14:textId="77777777" w:rsidR="00420EC5" w:rsidRPr="00DB5AEE" w:rsidRDefault="00420EC5">
      <w:pPr>
        <w:rPr>
          <w:rFonts w:asciiTheme="majorHAnsi" w:hAnsiTheme="majorHAnsi"/>
          <w:sz w:val="22"/>
          <w:szCs w:val="22"/>
        </w:rPr>
      </w:pPr>
    </w:p>
    <w:p w14:paraId="52266B4D" w14:textId="3A58E5A5" w:rsidR="00EC258C" w:rsidRPr="00DB5AEE" w:rsidRDefault="00481CD5">
      <w:pPr>
        <w:rPr>
          <w:rFonts w:asciiTheme="majorHAnsi" w:hAnsiTheme="majorHAnsi"/>
          <w:sz w:val="22"/>
          <w:szCs w:val="22"/>
        </w:rPr>
      </w:pPr>
      <w:r w:rsidRPr="00DB5AEE">
        <w:rPr>
          <w:rFonts w:asciiTheme="majorHAnsi" w:hAnsiTheme="majorHAnsi"/>
          <w:sz w:val="22"/>
          <w:szCs w:val="22"/>
          <w:u w:val="single"/>
        </w:rPr>
        <w:t>Summary</w:t>
      </w:r>
      <w:r w:rsidRPr="00DB5AEE">
        <w:rPr>
          <w:rFonts w:asciiTheme="majorHAnsi" w:hAnsiTheme="majorHAnsi"/>
          <w:sz w:val="22"/>
          <w:szCs w:val="22"/>
        </w:rPr>
        <w:t xml:space="preserve"> – this review suggests a submission to </w:t>
      </w:r>
      <w:proofErr w:type="spellStart"/>
      <w:r w:rsidRPr="00DB5AEE">
        <w:rPr>
          <w:rFonts w:asciiTheme="majorHAnsi" w:hAnsiTheme="majorHAnsi"/>
          <w:sz w:val="22"/>
          <w:szCs w:val="22"/>
        </w:rPr>
        <w:t>UoA</w:t>
      </w:r>
      <w:proofErr w:type="spellEnd"/>
      <w:r w:rsidRPr="00DB5AEE">
        <w:rPr>
          <w:rFonts w:asciiTheme="majorHAnsi" w:hAnsiTheme="majorHAnsi"/>
          <w:sz w:val="22"/>
          <w:szCs w:val="22"/>
        </w:rPr>
        <w:t xml:space="preserve"> 25 from a University </w:t>
      </w:r>
      <w:r w:rsidR="007364F2" w:rsidRPr="00DB5AEE">
        <w:rPr>
          <w:rFonts w:asciiTheme="majorHAnsi" w:hAnsiTheme="majorHAnsi"/>
          <w:sz w:val="22"/>
          <w:szCs w:val="22"/>
        </w:rPr>
        <w:t>with no ITE provision, one Ed D &amp;</w:t>
      </w:r>
      <w:r w:rsidRPr="00DB5AEE">
        <w:rPr>
          <w:rFonts w:asciiTheme="majorHAnsi" w:hAnsiTheme="majorHAnsi"/>
          <w:sz w:val="22"/>
          <w:szCs w:val="22"/>
        </w:rPr>
        <w:t xml:space="preserve"> one MA course in Education (both in CEMP) and a small number of specifically education-based PHD students (also in CEMP and also in HSC?) would be an exceptional approach. Crucially, each of these schools of education has multiple research </w:t>
      </w:r>
      <w:proofErr w:type="spellStart"/>
      <w:r w:rsidRPr="00DB5AEE">
        <w:rPr>
          <w:rFonts w:asciiTheme="majorHAnsi" w:hAnsiTheme="majorHAnsi"/>
          <w:sz w:val="22"/>
          <w:szCs w:val="22"/>
        </w:rPr>
        <w:t>centres</w:t>
      </w:r>
      <w:proofErr w:type="spellEnd"/>
      <w:r w:rsidRPr="00DB5AEE">
        <w:rPr>
          <w:rFonts w:asciiTheme="majorHAnsi" w:hAnsiTheme="majorHAnsi"/>
          <w:sz w:val="22"/>
          <w:szCs w:val="22"/>
        </w:rPr>
        <w:t xml:space="preserve"> or themes and these are quite distinct in each institution to the equivalent of CEL. Each University </w:t>
      </w:r>
      <w:r w:rsidRPr="00DB5AEE">
        <w:rPr>
          <w:rFonts w:asciiTheme="majorHAnsi" w:hAnsiTheme="majorHAnsi"/>
          <w:i/>
          <w:sz w:val="22"/>
          <w:szCs w:val="22"/>
        </w:rPr>
        <w:t>also</w:t>
      </w:r>
      <w:r w:rsidR="00525255" w:rsidRPr="00DB5AEE">
        <w:rPr>
          <w:rFonts w:asciiTheme="majorHAnsi" w:hAnsiTheme="majorHAnsi"/>
          <w:sz w:val="22"/>
          <w:szCs w:val="22"/>
        </w:rPr>
        <w:t xml:space="preserve"> </w:t>
      </w:r>
      <w:r w:rsidRPr="00DB5AEE">
        <w:rPr>
          <w:rFonts w:asciiTheme="majorHAnsi" w:hAnsiTheme="majorHAnsi"/>
          <w:sz w:val="22"/>
          <w:szCs w:val="22"/>
        </w:rPr>
        <w:t xml:space="preserve">has a </w:t>
      </w:r>
      <w:proofErr w:type="spellStart"/>
      <w:r w:rsidRPr="00DB5AEE">
        <w:rPr>
          <w:rFonts w:asciiTheme="majorHAnsi" w:hAnsiTheme="majorHAnsi"/>
          <w:sz w:val="22"/>
          <w:szCs w:val="22"/>
        </w:rPr>
        <w:t>centre</w:t>
      </w:r>
      <w:proofErr w:type="spellEnd"/>
      <w:r w:rsidRPr="00DB5AEE">
        <w:rPr>
          <w:rFonts w:asciiTheme="majorHAnsi" w:hAnsiTheme="majorHAnsi"/>
          <w:sz w:val="22"/>
          <w:szCs w:val="22"/>
        </w:rPr>
        <w:t xml:space="preserve"> or institute for learning / teaching and learning / learning enhancement or another variant on this theme, with a remit for PG Cert, HEA affiliation and good practice sharing / other accreditation. These are quite separate, and sometimes at odds, with educational research </w:t>
      </w:r>
      <w:proofErr w:type="spellStart"/>
      <w:r w:rsidRPr="00DB5AEE">
        <w:rPr>
          <w:rFonts w:asciiTheme="majorHAnsi" w:hAnsiTheme="majorHAnsi"/>
          <w:sz w:val="22"/>
          <w:szCs w:val="22"/>
        </w:rPr>
        <w:t>centres</w:t>
      </w:r>
      <w:proofErr w:type="spellEnd"/>
      <w:r w:rsidRPr="00DB5AEE">
        <w:rPr>
          <w:rFonts w:asciiTheme="majorHAnsi" w:hAnsiTheme="majorHAnsi"/>
          <w:sz w:val="22"/>
          <w:szCs w:val="22"/>
        </w:rPr>
        <w:t xml:space="preserve"> </w:t>
      </w:r>
      <w:proofErr w:type="gramStart"/>
      <w:r w:rsidRPr="00DB5AEE">
        <w:rPr>
          <w:rFonts w:asciiTheme="majorHAnsi" w:hAnsiTheme="majorHAnsi"/>
          <w:sz w:val="22"/>
          <w:szCs w:val="22"/>
        </w:rPr>
        <w:t>who</w:t>
      </w:r>
      <w:proofErr w:type="gramEnd"/>
      <w:r w:rsidRPr="00DB5AEE">
        <w:rPr>
          <w:rFonts w:asciiTheme="majorHAnsi" w:hAnsiTheme="majorHAnsi"/>
          <w:sz w:val="22"/>
          <w:szCs w:val="22"/>
        </w:rPr>
        <w:t xml:space="preserve"> tend to face outwards – to ITE and research with impact externally on policy and practice. This is very important with REF in mind because </w:t>
      </w:r>
      <w:r w:rsidRPr="008F31AB">
        <w:rPr>
          <w:rFonts w:asciiTheme="majorHAnsi" w:hAnsiTheme="majorHAnsi"/>
          <w:b/>
          <w:sz w:val="22"/>
          <w:szCs w:val="22"/>
        </w:rPr>
        <w:t>only ex</w:t>
      </w:r>
      <w:r w:rsidR="008F31AB" w:rsidRPr="008F31AB">
        <w:rPr>
          <w:rFonts w:asciiTheme="majorHAnsi" w:hAnsiTheme="majorHAnsi"/>
          <w:b/>
          <w:sz w:val="22"/>
          <w:szCs w:val="22"/>
        </w:rPr>
        <w:t>t</w:t>
      </w:r>
      <w:r w:rsidRPr="008F31AB">
        <w:rPr>
          <w:rFonts w:asciiTheme="majorHAnsi" w:hAnsiTheme="majorHAnsi"/>
          <w:b/>
          <w:sz w:val="22"/>
          <w:szCs w:val="22"/>
        </w:rPr>
        <w:t>ernal impact is valued</w:t>
      </w:r>
      <w:r w:rsidRPr="00DB5AEE">
        <w:rPr>
          <w:rFonts w:asciiTheme="majorHAnsi" w:hAnsiTheme="majorHAnsi"/>
          <w:sz w:val="22"/>
          <w:szCs w:val="22"/>
        </w:rPr>
        <w:t xml:space="preserve"> in that context.  Therefore growing an educational research group with REF-able outputs from within CEL and without a School of Ed or any ITE would be a rare if not unique approach, but for reasons outlined next this is still a viable strategy.  </w:t>
      </w:r>
    </w:p>
    <w:p w14:paraId="11760BB5" w14:textId="77777777" w:rsidR="00481CD5" w:rsidRPr="00DB5AEE" w:rsidRDefault="00481CD5">
      <w:pPr>
        <w:rPr>
          <w:rFonts w:asciiTheme="majorHAnsi" w:hAnsiTheme="majorHAnsi"/>
          <w:sz w:val="22"/>
          <w:szCs w:val="22"/>
        </w:rPr>
      </w:pPr>
    </w:p>
    <w:p w14:paraId="78ABE722" w14:textId="77777777" w:rsidR="00481CD5" w:rsidRPr="00DB5AEE" w:rsidRDefault="00481CD5">
      <w:pPr>
        <w:rPr>
          <w:rFonts w:asciiTheme="majorHAnsi" w:hAnsiTheme="majorHAnsi"/>
          <w:sz w:val="22"/>
          <w:szCs w:val="22"/>
        </w:rPr>
      </w:pPr>
    </w:p>
    <w:p w14:paraId="26EF5BEA" w14:textId="77777777" w:rsidR="00EC258C" w:rsidRPr="009A1644" w:rsidRDefault="00EC258C">
      <w:pPr>
        <w:rPr>
          <w:rFonts w:asciiTheme="majorHAnsi" w:hAnsiTheme="majorHAnsi"/>
          <w:b/>
          <w:color w:val="FF6600"/>
          <w:sz w:val="22"/>
          <w:szCs w:val="22"/>
        </w:rPr>
      </w:pPr>
      <w:r w:rsidRPr="009A1644">
        <w:rPr>
          <w:rFonts w:asciiTheme="majorHAnsi" w:hAnsiTheme="majorHAnsi"/>
          <w:b/>
          <w:color w:val="FF6600"/>
          <w:sz w:val="22"/>
          <w:szCs w:val="22"/>
        </w:rPr>
        <w:t xml:space="preserve">(4) Proposal for BU strategy – for discussion </w:t>
      </w:r>
    </w:p>
    <w:p w14:paraId="157058F9" w14:textId="77777777" w:rsidR="00463B35" w:rsidRPr="00DB5AEE" w:rsidRDefault="00463B35">
      <w:pPr>
        <w:rPr>
          <w:rFonts w:asciiTheme="majorHAnsi" w:hAnsiTheme="majorHAnsi"/>
          <w:sz w:val="22"/>
          <w:szCs w:val="22"/>
        </w:rPr>
      </w:pPr>
    </w:p>
    <w:p w14:paraId="535CA4BB" w14:textId="160C9248" w:rsidR="00420EC5" w:rsidRPr="00DB5AEE" w:rsidRDefault="00481CD5">
      <w:pPr>
        <w:rPr>
          <w:rFonts w:asciiTheme="majorHAnsi" w:hAnsiTheme="majorHAnsi"/>
          <w:sz w:val="22"/>
          <w:szCs w:val="22"/>
        </w:rPr>
      </w:pPr>
      <w:r w:rsidRPr="00DB5AEE">
        <w:rPr>
          <w:rFonts w:asciiTheme="majorHAnsi" w:hAnsiTheme="majorHAnsi"/>
          <w:sz w:val="22"/>
          <w:szCs w:val="22"/>
        </w:rPr>
        <w:t>Despite the summary above, it would seem to be the case that, u</w:t>
      </w:r>
      <w:r w:rsidR="00420EC5" w:rsidRPr="00DB5AEE">
        <w:rPr>
          <w:rFonts w:asciiTheme="majorHAnsi" w:hAnsiTheme="majorHAnsi"/>
          <w:sz w:val="22"/>
          <w:szCs w:val="22"/>
        </w:rPr>
        <w:t xml:space="preserve">nless the political strategy of locating ITE in schools is reversed with a change of Government, the above may prove to be a review of the final stage of ITE- driven schools of education in English Universities.  If this </w:t>
      </w:r>
      <w:proofErr w:type="gramStart"/>
      <w:r w:rsidR="00420EC5" w:rsidRPr="00DB5AEE">
        <w:rPr>
          <w:rFonts w:asciiTheme="majorHAnsi" w:hAnsiTheme="majorHAnsi"/>
          <w:sz w:val="22"/>
          <w:szCs w:val="22"/>
        </w:rPr>
        <w:t>is</w:t>
      </w:r>
      <w:proofErr w:type="gramEnd"/>
      <w:r w:rsidR="00420EC5" w:rsidRPr="00DB5AEE">
        <w:rPr>
          <w:rFonts w:asciiTheme="majorHAnsi" w:hAnsiTheme="majorHAnsi"/>
          <w:sz w:val="22"/>
          <w:szCs w:val="22"/>
        </w:rPr>
        <w:t xml:space="preserve"> the case, then an education submission to REF from a niche research group in a University with no ITE provision would be far less exceptional than currently</w:t>
      </w:r>
      <w:r w:rsidRPr="00DB5AEE">
        <w:rPr>
          <w:rFonts w:asciiTheme="majorHAnsi" w:hAnsiTheme="majorHAnsi"/>
          <w:sz w:val="22"/>
          <w:szCs w:val="22"/>
        </w:rPr>
        <w:t xml:space="preserve">. As long as </w:t>
      </w:r>
      <w:r w:rsidRPr="008F31AB">
        <w:rPr>
          <w:rFonts w:asciiTheme="majorHAnsi" w:hAnsiTheme="majorHAnsi"/>
          <w:b/>
          <w:sz w:val="22"/>
          <w:szCs w:val="22"/>
        </w:rPr>
        <w:t>externally ‘impactful’ research</w:t>
      </w:r>
      <w:r w:rsidRPr="00DB5AEE">
        <w:rPr>
          <w:rFonts w:asciiTheme="majorHAnsi" w:hAnsiTheme="majorHAnsi"/>
          <w:sz w:val="22"/>
          <w:szCs w:val="22"/>
        </w:rPr>
        <w:t xml:space="preserve"> is emphasized, separately from internal accreditation and good practice dissemination, there is clear potential for BU to move in this area. </w:t>
      </w:r>
    </w:p>
    <w:p w14:paraId="3D647652" w14:textId="77777777" w:rsidR="00420EC5" w:rsidRPr="00DB5AEE" w:rsidRDefault="00420EC5">
      <w:pPr>
        <w:rPr>
          <w:rFonts w:asciiTheme="majorHAnsi" w:hAnsiTheme="majorHAnsi"/>
          <w:sz w:val="22"/>
          <w:szCs w:val="22"/>
        </w:rPr>
      </w:pPr>
    </w:p>
    <w:p w14:paraId="0EDD05F4" w14:textId="77777777" w:rsidR="00DB5AEE" w:rsidRPr="00DB5AEE" w:rsidRDefault="00420EC5">
      <w:pPr>
        <w:rPr>
          <w:rFonts w:asciiTheme="majorHAnsi" w:hAnsiTheme="majorHAnsi"/>
          <w:sz w:val="22"/>
          <w:szCs w:val="22"/>
        </w:rPr>
      </w:pPr>
      <w:r w:rsidRPr="00DB5AEE">
        <w:rPr>
          <w:rFonts w:asciiTheme="majorHAnsi" w:hAnsiTheme="majorHAnsi"/>
          <w:sz w:val="22"/>
          <w:szCs w:val="22"/>
        </w:rPr>
        <w:t xml:space="preserve">As CPD is </w:t>
      </w:r>
      <w:r w:rsidR="00481CD5" w:rsidRPr="00DB5AEE">
        <w:rPr>
          <w:rFonts w:asciiTheme="majorHAnsi" w:hAnsiTheme="majorHAnsi"/>
          <w:sz w:val="22"/>
          <w:szCs w:val="22"/>
        </w:rPr>
        <w:t xml:space="preserve">thus </w:t>
      </w:r>
      <w:r w:rsidRPr="00DB5AEE">
        <w:rPr>
          <w:rFonts w:asciiTheme="majorHAnsi" w:hAnsiTheme="majorHAnsi"/>
          <w:sz w:val="22"/>
          <w:szCs w:val="22"/>
        </w:rPr>
        <w:t xml:space="preserve">highly likely to replace ITE as the ‘core business’ of University schools / </w:t>
      </w:r>
      <w:proofErr w:type="spellStart"/>
      <w:r w:rsidRPr="00DB5AEE">
        <w:rPr>
          <w:rFonts w:asciiTheme="majorHAnsi" w:hAnsiTheme="majorHAnsi"/>
          <w:sz w:val="22"/>
          <w:szCs w:val="22"/>
        </w:rPr>
        <w:t>centres</w:t>
      </w:r>
      <w:proofErr w:type="spellEnd"/>
      <w:r w:rsidRPr="00DB5AEE">
        <w:rPr>
          <w:rFonts w:asciiTheme="majorHAnsi" w:hAnsiTheme="majorHAnsi"/>
          <w:sz w:val="22"/>
          <w:szCs w:val="22"/>
        </w:rPr>
        <w:t xml:space="preserve"> of education, BU can easily occupy a space in this arena providing we </w:t>
      </w:r>
      <w:r w:rsidRPr="008F31AB">
        <w:rPr>
          <w:rFonts w:asciiTheme="majorHAnsi" w:hAnsiTheme="majorHAnsi"/>
          <w:b/>
          <w:sz w:val="22"/>
          <w:szCs w:val="22"/>
        </w:rPr>
        <w:t xml:space="preserve">a) operate within a clear strategy for educational </w:t>
      </w:r>
      <w:r w:rsidRPr="008F31AB">
        <w:rPr>
          <w:rFonts w:asciiTheme="majorHAnsi" w:hAnsiTheme="majorHAnsi"/>
          <w:b/>
          <w:i/>
          <w:sz w:val="22"/>
          <w:szCs w:val="22"/>
        </w:rPr>
        <w:t>research</w:t>
      </w:r>
      <w:r w:rsidRPr="008F31AB">
        <w:rPr>
          <w:rFonts w:asciiTheme="majorHAnsi" w:hAnsiTheme="majorHAnsi"/>
          <w:b/>
          <w:sz w:val="22"/>
          <w:szCs w:val="22"/>
        </w:rPr>
        <w:t xml:space="preserve"> – with impact </w:t>
      </w:r>
      <w:r w:rsidRPr="00DB5AEE">
        <w:rPr>
          <w:rFonts w:asciiTheme="majorHAnsi" w:hAnsiTheme="majorHAnsi"/>
          <w:sz w:val="22"/>
          <w:szCs w:val="22"/>
        </w:rPr>
        <w:t xml:space="preserve">– as distinct from the dissemination of practice without research methodology or outputs and b) </w:t>
      </w:r>
      <w:r w:rsidRPr="008F31AB">
        <w:rPr>
          <w:rFonts w:asciiTheme="majorHAnsi" w:hAnsiTheme="majorHAnsi"/>
          <w:b/>
          <w:sz w:val="22"/>
          <w:szCs w:val="22"/>
        </w:rPr>
        <w:t>identify related research themes around</w:t>
      </w:r>
      <w:r w:rsidR="00481CD5" w:rsidRPr="008F31AB">
        <w:rPr>
          <w:rFonts w:asciiTheme="majorHAnsi" w:hAnsiTheme="majorHAnsi"/>
          <w:b/>
          <w:sz w:val="22"/>
          <w:szCs w:val="22"/>
        </w:rPr>
        <w:t xml:space="preserve"> which we can build a narrative </w:t>
      </w:r>
      <w:r w:rsidR="00481CD5" w:rsidRPr="00DB5AEE">
        <w:rPr>
          <w:rFonts w:asciiTheme="majorHAnsi" w:hAnsiTheme="majorHAnsi"/>
          <w:sz w:val="22"/>
          <w:szCs w:val="22"/>
        </w:rPr>
        <w:t xml:space="preserve">and c) </w:t>
      </w:r>
      <w:r w:rsidR="00481CD5" w:rsidRPr="008F31AB">
        <w:rPr>
          <w:rFonts w:asciiTheme="majorHAnsi" w:hAnsiTheme="majorHAnsi"/>
          <w:b/>
          <w:sz w:val="22"/>
          <w:szCs w:val="22"/>
        </w:rPr>
        <w:t>build external networks</w:t>
      </w:r>
      <w:r w:rsidR="00481CD5" w:rsidRPr="00DB5AEE">
        <w:rPr>
          <w:rFonts w:asciiTheme="majorHAnsi" w:hAnsiTheme="majorHAnsi"/>
          <w:sz w:val="22"/>
          <w:szCs w:val="22"/>
        </w:rPr>
        <w:t xml:space="preserve"> (regional and / or national) in the place of the traditional ITE-generated model. </w:t>
      </w:r>
      <w:r w:rsidRPr="00DB5AEE">
        <w:rPr>
          <w:rFonts w:asciiTheme="majorHAnsi" w:hAnsiTheme="majorHAnsi"/>
          <w:sz w:val="22"/>
          <w:szCs w:val="22"/>
        </w:rPr>
        <w:t xml:space="preserve"> </w:t>
      </w:r>
    </w:p>
    <w:p w14:paraId="623FCF6D" w14:textId="77777777" w:rsidR="00DB5AEE" w:rsidRPr="00DB5AEE" w:rsidRDefault="00DB5AEE">
      <w:pPr>
        <w:rPr>
          <w:rFonts w:asciiTheme="majorHAnsi" w:hAnsiTheme="majorHAnsi"/>
          <w:sz w:val="22"/>
          <w:szCs w:val="22"/>
        </w:rPr>
      </w:pPr>
    </w:p>
    <w:p w14:paraId="45057A90" w14:textId="56DCB79B" w:rsidR="00DB5AEE" w:rsidRDefault="00DB5AEE">
      <w:pPr>
        <w:rPr>
          <w:rFonts w:asciiTheme="majorHAnsi" w:hAnsiTheme="majorHAnsi"/>
          <w:sz w:val="22"/>
          <w:szCs w:val="22"/>
        </w:rPr>
      </w:pPr>
      <w:r w:rsidRPr="00DB5AEE">
        <w:rPr>
          <w:rFonts w:asciiTheme="majorHAnsi" w:hAnsiTheme="majorHAnsi"/>
          <w:sz w:val="22"/>
          <w:szCs w:val="22"/>
        </w:rPr>
        <w:t xml:space="preserve">Firstly, it is essential that BU </w:t>
      </w:r>
      <w:proofErr w:type="gramStart"/>
      <w:r w:rsidRPr="00DB5AEE">
        <w:rPr>
          <w:rFonts w:asciiTheme="majorHAnsi" w:hAnsiTheme="majorHAnsi"/>
          <w:sz w:val="22"/>
          <w:szCs w:val="22"/>
        </w:rPr>
        <w:t>includes</w:t>
      </w:r>
      <w:proofErr w:type="gramEnd"/>
      <w:r w:rsidRPr="00DB5AEE">
        <w:rPr>
          <w:rFonts w:asciiTheme="majorHAnsi" w:hAnsiTheme="majorHAnsi"/>
          <w:sz w:val="22"/>
          <w:szCs w:val="22"/>
        </w:rPr>
        <w:t xml:space="preserve"> education as a new research theme.</w:t>
      </w:r>
    </w:p>
    <w:p w14:paraId="7F6EC17B" w14:textId="77777777" w:rsidR="008F31AB" w:rsidRPr="00DB5AEE" w:rsidRDefault="008F31AB">
      <w:pPr>
        <w:rPr>
          <w:rFonts w:asciiTheme="majorHAnsi" w:hAnsiTheme="majorHAnsi"/>
          <w:sz w:val="22"/>
          <w:szCs w:val="22"/>
        </w:rPr>
      </w:pPr>
    </w:p>
    <w:p w14:paraId="13648E69" w14:textId="1A13734F" w:rsidR="00420EC5" w:rsidRPr="00DB5AEE" w:rsidRDefault="00DB5AEE">
      <w:pPr>
        <w:rPr>
          <w:rFonts w:asciiTheme="majorHAnsi" w:hAnsiTheme="majorHAnsi"/>
          <w:sz w:val="22"/>
          <w:szCs w:val="22"/>
        </w:rPr>
      </w:pPr>
      <w:r w:rsidRPr="00DB5AEE">
        <w:rPr>
          <w:rFonts w:asciiTheme="majorHAnsi" w:hAnsiTheme="majorHAnsi"/>
          <w:sz w:val="22"/>
          <w:szCs w:val="22"/>
        </w:rPr>
        <w:t xml:space="preserve">Within that, from this audit of </w:t>
      </w:r>
      <w:r w:rsidR="00420EC5" w:rsidRPr="00DB5AEE">
        <w:rPr>
          <w:rFonts w:asciiTheme="majorHAnsi" w:hAnsiTheme="majorHAnsi"/>
          <w:sz w:val="22"/>
          <w:szCs w:val="22"/>
        </w:rPr>
        <w:t>current work</w:t>
      </w:r>
      <w:r w:rsidRPr="00DB5AEE">
        <w:rPr>
          <w:rFonts w:asciiTheme="majorHAnsi" w:hAnsiTheme="majorHAnsi"/>
          <w:sz w:val="22"/>
          <w:szCs w:val="22"/>
        </w:rPr>
        <w:t xml:space="preserve"> and the responses from CEL</w:t>
      </w:r>
      <w:r w:rsidR="00420EC5" w:rsidRPr="00DB5AEE">
        <w:rPr>
          <w:rFonts w:asciiTheme="majorHAnsi" w:hAnsiTheme="majorHAnsi"/>
          <w:sz w:val="22"/>
          <w:szCs w:val="22"/>
        </w:rPr>
        <w:t xml:space="preserve">, </w:t>
      </w:r>
      <w:r w:rsidRPr="00DB5AEE">
        <w:rPr>
          <w:rFonts w:asciiTheme="majorHAnsi" w:hAnsiTheme="majorHAnsi"/>
          <w:sz w:val="22"/>
          <w:szCs w:val="22"/>
        </w:rPr>
        <w:t xml:space="preserve">our </w:t>
      </w:r>
      <w:r w:rsidR="006B2B26" w:rsidRPr="00DB5AEE">
        <w:rPr>
          <w:rFonts w:asciiTheme="majorHAnsi" w:hAnsiTheme="majorHAnsi"/>
          <w:sz w:val="22"/>
          <w:szCs w:val="22"/>
        </w:rPr>
        <w:t xml:space="preserve">two </w:t>
      </w:r>
      <w:r w:rsidRPr="00DB5AEE">
        <w:rPr>
          <w:rFonts w:asciiTheme="majorHAnsi" w:hAnsiTheme="majorHAnsi"/>
          <w:sz w:val="22"/>
          <w:szCs w:val="22"/>
        </w:rPr>
        <w:t xml:space="preserve">sub-themes for the REF narrative should </w:t>
      </w:r>
      <w:r w:rsidR="00420EC5" w:rsidRPr="00DB5AEE">
        <w:rPr>
          <w:rFonts w:asciiTheme="majorHAnsi" w:hAnsiTheme="majorHAnsi"/>
          <w:sz w:val="22"/>
          <w:szCs w:val="22"/>
        </w:rPr>
        <w:t xml:space="preserve">be: </w:t>
      </w:r>
      <w:r w:rsidR="00420EC5" w:rsidRPr="00DB5AEE">
        <w:rPr>
          <w:rFonts w:asciiTheme="majorHAnsi" w:hAnsiTheme="majorHAnsi"/>
          <w:i/>
          <w:sz w:val="22"/>
          <w:szCs w:val="22"/>
        </w:rPr>
        <w:t xml:space="preserve"> </w:t>
      </w:r>
      <w:r w:rsidR="00420EC5" w:rsidRPr="00DB5AEE">
        <w:rPr>
          <w:rFonts w:asciiTheme="majorHAnsi" w:hAnsiTheme="majorHAnsi"/>
          <w:sz w:val="22"/>
          <w:szCs w:val="22"/>
        </w:rPr>
        <w:t xml:space="preserve">   </w:t>
      </w:r>
    </w:p>
    <w:p w14:paraId="57ACBAAD" w14:textId="77777777" w:rsidR="00DB5AEE" w:rsidRPr="00DB5AEE" w:rsidRDefault="00DB5AEE">
      <w:pPr>
        <w:rPr>
          <w:rFonts w:asciiTheme="majorHAnsi" w:hAnsiTheme="majorHAnsi"/>
          <w:sz w:val="22"/>
          <w:szCs w:val="22"/>
        </w:rPr>
      </w:pPr>
    </w:p>
    <w:p w14:paraId="5DFB2DCE" w14:textId="77777777" w:rsidR="00DB5AEE" w:rsidRPr="009A1644" w:rsidRDefault="00DB5AEE" w:rsidP="00DB5AEE">
      <w:pPr>
        <w:rPr>
          <w:rFonts w:asciiTheme="majorHAnsi" w:hAnsiTheme="majorHAnsi" w:cstheme="minorHAnsi"/>
          <w:b/>
          <w:color w:val="FF6600"/>
        </w:rPr>
      </w:pPr>
      <w:r w:rsidRPr="009A1644">
        <w:rPr>
          <w:rFonts w:asciiTheme="majorHAnsi" w:hAnsiTheme="majorHAnsi" w:cstheme="minorHAnsi"/>
          <w:b/>
          <w:color w:val="FF6600"/>
        </w:rPr>
        <w:t xml:space="preserve">Inter-Professional enquiry  </w:t>
      </w:r>
    </w:p>
    <w:p w14:paraId="4429D2A2" w14:textId="77777777" w:rsidR="00DB5AEE" w:rsidRPr="009A1644" w:rsidRDefault="00DB5AEE" w:rsidP="00DB5AEE">
      <w:pPr>
        <w:rPr>
          <w:rFonts w:asciiTheme="majorHAnsi" w:hAnsiTheme="majorHAnsi" w:cstheme="minorHAnsi"/>
          <w:b/>
          <w:color w:val="FF6600"/>
        </w:rPr>
      </w:pPr>
    </w:p>
    <w:p w14:paraId="08190D8F" w14:textId="3D46733F" w:rsidR="00DB5AEE" w:rsidRPr="009A1644" w:rsidRDefault="00DB5AEE" w:rsidP="00DB5AEE">
      <w:pPr>
        <w:rPr>
          <w:rFonts w:asciiTheme="majorHAnsi" w:hAnsiTheme="majorHAnsi" w:cstheme="minorHAnsi"/>
          <w:b/>
          <w:color w:val="FF6600"/>
        </w:rPr>
      </w:pPr>
      <w:r w:rsidRPr="009A1644">
        <w:rPr>
          <w:rFonts w:asciiTheme="majorHAnsi" w:hAnsiTheme="majorHAnsi" w:cstheme="minorHAnsi"/>
          <w:b/>
          <w:color w:val="FF6600"/>
        </w:rPr>
        <w:t xml:space="preserve">Fused learning </w:t>
      </w:r>
    </w:p>
    <w:p w14:paraId="188268CD" w14:textId="77777777" w:rsidR="00DB5AEE" w:rsidRPr="00DB5AEE" w:rsidRDefault="00DB5AEE">
      <w:pPr>
        <w:rPr>
          <w:rFonts w:asciiTheme="majorHAnsi" w:hAnsiTheme="majorHAnsi"/>
          <w:sz w:val="22"/>
          <w:szCs w:val="22"/>
        </w:rPr>
      </w:pPr>
      <w:bookmarkStart w:id="0" w:name="_GoBack"/>
      <w:bookmarkEnd w:id="0"/>
    </w:p>
    <w:p w14:paraId="52C01CF7" w14:textId="77777777" w:rsidR="00DB5AEE" w:rsidRPr="00DB5AEE" w:rsidRDefault="00420EC5">
      <w:pPr>
        <w:rPr>
          <w:rFonts w:asciiTheme="majorHAnsi" w:hAnsiTheme="majorHAnsi"/>
          <w:sz w:val="22"/>
          <w:szCs w:val="22"/>
        </w:rPr>
      </w:pPr>
      <w:r w:rsidRPr="00DB5AEE">
        <w:rPr>
          <w:rFonts w:asciiTheme="majorHAnsi" w:hAnsiTheme="majorHAnsi"/>
          <w:sz w:val="22"/>
          <w:szCs w:val="22"/>
        </w:rPr>
        <w:t>Within and between these, there would need to be a coherent approach to methodology and interdisciplinary research</w:t>
      </w:r>
      <w:r w:rsidR="00257D7C" w:rsidRPr="00DB5AEE">
        <w:rPr>
          <w:rFonts w:asciiTheme="majorHAnsi" w:hAnsiTheme="majorHAnsi"/>
          <w:sz w:val="22"/>
          <w:szCs w:val="22"/>
        </w:rPr>
        <w:t xml:space="preserve">, preferably with one or two methodologies emerging as ‘core’ – for example, narrative enquiry for practitioner research, digital ethnographies for blended pedagogy, socio-cultural approaches to case study. </w:t>
      </w:r>
    </w:p>
    <w:p w14:paraId="14C0D584" w14:textId="77777777" w:rsidR="00DB5AEE" w:rsidRPr="00DB5AEE" w:rsidRDefault="00DB5AEE">
      <w:pPr>
        <w:rPr>
          <w:rFonts w:asciiTheme="majorHAnsi" w:hAnsiTheme="majorHAnsi"/>
          <w:sz w:val="22"/>
          <w:szCs w:val="22"/>
        </w:rPr>
      </w:pPr>
    </w:p>
    <w:p w14:paraId="71C00035" w14:textId="2F240AD8" w:rsidR="00DB5AEE" w:rsidRPr="00DB5AEE" w:rsidRDefault="00DB5AEE">
      <w:pPr>
        <w:rPr>
          <w:rFonts w:asciiTheme="majorHAnsi" w:hAnsiTheme="majorHAnsi"/>
          <w:sz w:val="22"/>
          <w:szCs w:val="22"/>
        </w:rPr>
      </w:pPr>
      <w:r w:rsidRPr="00DB5AEE">
        <w:rPr>
          <w:rFonts w:asciiTheme="majorHAnsi" w:hAnsiTheme="majorHAnsi"/>
          <w:sz w:val="22"/>
          <w:szCs w:val="22"/>
        </w:rPr>
        <w:t>Key elements of BU strategy</w:t>
      </w:r>
      <w:r w:rsidR="00257D7C" w:rsidRPr="00DB5AEE">
        <w:rPr>
          <w:rFonts w:asciiTheme="majorHAnsi" w:hAnsiTheme="majorHAnsi"/>
          <w:sz w:val="22"/>
          <w:szCs w:val="22"/>
        </w:rPr>
        <w:t xml:space="preserve"> </w:t>
      </w:r>
      <w:r w:rsidRPr="00DB5AEE">
        <w:rPr>
          <w:rFonts w:asciiTheme="majorHAnsi" w:hAnsiTheme="majorHAnsi"/>
          <w:sz w:val="22"/>
          <w:szCs w:val="22"/>
        </w:rPr>
        <w:t>that this research would further are:</w:t>
      </w:r>
    </w:p>
    <w:p w14:paraId="1DE69FC1" w14:textId="77777777" w:rsidR="00DB5AEE" w:rsidRPr="00DB5AEE" w:rsidRDefault="00DB5AEE">
      <w:pPr>
        <w:rPr>
          <w:rFonts w:asciiTheme="majorHAnsi" w:hAnsiTheme="majorHAnsi"/>
          <w:sz w:val="22"/>
          <w:szCs w:val="22"/>
        </w:rPr>
      </w:pPr>
    </w:p>
    <w:p w14:paraId="338B6058" w14:textId="77777777" w:rsidR="00DB5AEE" w:rsidRPr="00DB5AEE" w:rsidRDefault="00DB5AEE" w:rsidP="00DB5AEE">
      <w:pPr>
        <w:pStyle w:val="ListParagraph"/>
        <w:numPr>
          <w:ilvl w:val="0"/>
          <w:numId w:val="4"/>
        </w:numPr>
        <w:spacing w:after="200" w:line="276" w:lineRule="auto"/>
        <w:contextualSpacing/>
        <w:rPr>
          <w:rFonts w:asciiTheme="majorHAnsi" w:hAnsiTheme="majorHAnsi"/>
        </w:rPr>
      </w:pPr>
      <w:r w:rsidRPr="00DB5AEE">
        <w:rPr>
          <w:rFonts w:asciiTheme="majorHAnsi" w:hAnsiTheme="majorHAnsi"/>
        </w:rPr>
        <w:t>Learning together, cross disciplines</w:t>
      </w:r>
    </w:p>
    <w:p w14:paraId="04FBD069" w14:textId="77777777" w:rsidR="00DB5AEE" w:rsidRPr="00DB5AEE" w:rsidRDefault="00DB5AEE" w:rsidP="00DB5AEE">
      <w:pPr>
        <w:pStyle w:val="ListParagraph"/>
        <w:numPr>
          <w:ilvl w:val="0"/>
          <w:numId w:val="4"/>
        </w:numPr>
        <w:spacing w:after="200" w:line="276" w:lineRule="auto"/>
        <w:contextualSpacing/>
        <w:rPr>
          <w:rFonts w:asciiTheme="majorHAnsi" w:hAnsiTheme="majorHAnsi"/>
        </w:rPr>
      </w:pPr>
      <w:r w:rsidRPr="00DB5AEE">
        <w:rPr>
          <w:rFonts w:asciiTheme="majorHAnsi" w:hAnsiTheme="majorHAnsi"/>
        </w:rPr>
        <w:t>Andragogy- treating students as equals/ adults</w:t>
      </w:r>
    </w:p>
    <w:p w14:paraId="4B7707B6" w14:textId="77777777" w:rsidR="00DB5AEE" w:rsidRPr="00DB5AEE" w:rsidRDefault="00DB5AEE" w:rsidP="00DB5AEE">
      <w:pPr>
        <w:pStyle w:val="ListParagraph"/>
        <w:numPr>
          <w:ilvl w:val="0"/>
          <w:numId w:val="4"/>
        </w:numPr>
        <w:spacing w:after="200" w:line="276" w:lineRule="auto"/>
        <w:contextualSpacing/>
        <w:rPr>
          <w:rFonts w:asciiTheme="majorHAnsi" w:hAnsiTheme="majorHAnsi"/>
        </w:rPr>
      </w:pPr>
      <w:r w:rsidRPr="00DB5AEE">
        <w:rPr>
          <w:rFonts w:asciiTheme="majorHAnsi" w:hAnsiTheme="majorHAnsi"/>
        </w:rPr>
        <w:t>Co-creation and co-production: learning together and creating together</w:t>
      </w:r>
    </w:p>
    <w:p w14:paraId="306FBA78" w14:textId="77777777" w:rsidR="00DB5AEE" w:rsidRPr="00DB5AEE" w:rsidRDefault="00DB5AEE" w:rsidP="00DB5AEE">
      <w:pPr>
        <w:pStyle w:val="ListParagraph"/>
        <w:numPr>
          <w:ilvl w:val="0"/>
          <w:numId w:val="4"/>
        </w:numPr>
        <w:spacing w:after="200" w:line="276" w:lineRule="auto"/>
        <w:contextualSpacing/>
        <w:rPr>
          <w:rFonts w:asciiTheme="majorHAnsi" w:hAnsiTheme="majorHAnsi"/>
        </w:rPr>
      </w:pPr>
      <w:r w:rsidRPr="00DB5AEE">
        <w:rPr>
          <w:rFonts w:asciiTheme="majorHAnsi" w:hAnsiTheme="majorHAnsi"/>
        </w:rPr>
        <w:t>Developing people- adding value, maximising potential, changing people’s lives</w:t>
      </w:r>
    </w:p>
    <w:p w14:paraId="49514FE8" w14:textId="77777777" w:rsidR="00DB5AEE" w:rsidRPr="00DB5AEE" w:rsidRDefault="00DB5AEE" w:rsidP="00DB5AEE">
      <w:pPr>
        <w:pStyle w:val="ListParagraph"/>
        <w:numPr>
          <w:ilvl w:val="0"/>
          <w:numId w:val="4"/>
        </w:numPr>
        <w:spacing w:after="200" w:line="276" w:lineRule="auto"/>
        <w:contextualSpacing/>
        <w:rPr>
          <w:rFonts w:asciiTheme="majorHAnsi" w:hAnsiTheme="majorHAnsi"/>
        </w:rPr>
      </w:pPr>
      <w:r w:rsidRPr="00DB5AEE">
        <w:rPr>
          <w:rFonts w:asciiTheme="majorHAnsi" w:hAnsiTheme="majorHAnsi"/>
        </w:rPr>
        <w:t>Knowledge, skills and values for the workplace</w:t>
      </w:r>
    </w:p>
    <w:p w14:paraId="2FFFC701" w14:textId="21066F00" w:rsidR="00DB5AEE" w:rsidRDefault="00DB5AEE" w:rsidP="00DB5AEE">
      <w:pPr>
        <w:rPr>
          <w:rFonts w:asciiTheme="majorHAnsi" w:hAnsiTheme="majorHAnsi"/>
          <w:sz w:val="22"/>
          <w:szCs w:val="22"/>
        </w:rPr>
      </w:pPr>
      <w:r w:rsidRPr="00DB5AEE">
        <w:rPr>
          <w:rFonts w:asciiTheme="majorHAnsi" w:hAnsiTheme="majorHAnsi"/>
          <w:sz w:val="22"/>
          <w:szCs w:val="22"/>
        </w:rPr>
        <w:t>B</w:t>
      </w:r>
      <w:r w:rsidR="00257D7C" w:rsidRPr="00DB5AEE">
        <w:rPr>
          <w:rFonts w:asciiTheme="majorHAnsi" w:hAnsiTheme="majorHAnsi"/>
          <w:sz w:val="22"/>
          <w:szCs w:val="22"/>
        </w:rPr>
        <w:t xml:space="preserve">uilding </w:t>
      </w:r>
      <w:r w:rsidRPr="00DB5AEE">
        <w:rPr>
          <w:rFonts w:asciiTheme="majorHAnsi" w:hAnsiTheme="majorHAnsi"/>
          <w:sz w:val="22"/>
          <w:szCs w:val="22"/>
        </w:rPr>
        <w:t xml:space="preserve">a research strategy around these must be </w:t>
      </w:r>
      <w:proofErr w:type="gramStart"/>
      <w:r w:rsidRPr="00DB5AEE">
        <w:rPr>
          <w:rFonts w:asciiTheme="majorHAnsi" w:hAnsiTheme="majorHAnsi"/>
          <w:sz w:val="22"/>
          <w:szCs w:val="22"/>
        </w:rPr>
        <w:t>outward-facing</w:t>
      </w:r>
      <w:proofErr w:type="gramEnd"/>
      <w:r w:rsidRPr="00DB5AEE">
        <w:rPr>
          <w:rFonts w:asciiTheme="majorHAnsi" w:hAnsiTheme="majorHAnsi"/>
          <w:sz w:val="22"/>
          <w:szCs w:val="22"/>
        </w:rPr>
        <w:t xml:space="preserve">. Education </w:t>
      </w:r>
      <w:proofErr w:type="spellStart"/>
      <w:r w:rsidRPr="00DB5AEE">
        <w:rPr>
          <w:rFonts w:asciiTheme="majorHAnsi" w:hAnsiTheme="majorHAnsi"/>
          <w:sz w:val="22"/>
          <w:szCs w:val="22"/>
        </w:rPr>
        <w:t>UoA</w:t>
      </w:r>
      <w:proofErr w:type="spellEnd"/>
      <w:r w:rsidRPr="00DB5AEE">
        <w:rPr>
          <w:rFonts w:asciiTheme="majorHAnsi" w:hAnsiTheme="majorHAnsi"/>
          <w:sz w:val="22"/>
          <w:szCs w:val="22"/>
        </w:rPr>
        <w:t xml:space="preserve"> criteria do not validate internal development work as having impact so there must be peer reviewed international outputs along with planned outreach. This should include the </w:t>
      </w:r>
      <w:r w:rsidR="006B2B26" w:rsidRPr="00DB5AEE">
        <w:rPr>
          <w:rFonts w:asciiTheme="majorHAnsi" w:hAnsiTheme="majorHAnsi"/>
          <w:sz w:val="22"/>
          <w:szCs w:val="22"/>
        </w:rPr>
        <w:t>development of a more generic approach to Ed D and MA Education, with a significant increase in external students from local schools / FE and other HEIs</w:t>
      </w:r>
      <w:r w:rsidRPr="00DB5AEE">
        <w:rPr>
          <w:rFonts w:asciiTheme="majorHAnsi" w:hAnsiTheme="majorHAnsi"/>
          <w:sz w:val="22"/>
          <w:szCs w:val="22"/>
        </w:rPr>
        <w:t xml:space="preserve">. </w:t>
      </w:r>
    </w:p>
    <w:p w14:paraId="44CBE2A6" w14:textId="77777777" w:rsidR="00DB5AEE" w:rsidRDefault="00DB5AEE" w:rsidP="00DB5AEE">
      <w:pPr>
        <w:rPr>
          <w:rFonts w:asciiTheme="majorHAnsi" w:hAnsiTheme="majorHAnsi"/>
          <w:sz w:val="22"/>
          <w:szCs w:val="22"/>
        </w:rPr>
      </w:pPr>
    </w:p>
    <w:p w14:paraId="5CC2CEE6" w14:textId="4BFA1023" w:rsidR="00DB5AEE" w:rsidRPr="00DB5AEE" w:rsidRDefault="00DB5AEE" w:rsidP="00DB5AEE">
      <w:pPr>
        <w:rPr>
          <w:rFonts w:asciiTheme="majorHAnsi" w:hAnsiTheme="majorHAnsi"/>
          <w:sz w:val="22"/>
          <w:szCs w:val="22"/>
        </w:rPr>
      </w:pPr>
      <w:r>
        <w:rPr>
          <w:rFonts w:asciiTheme="majorHAnsi" w:hAnsiTheme="majorHAnsi"/>
          <w:sz w:val="22"/>
          <w:szCs w:val="22"/>
        </w:rPr>
        <w:t xml:space="preserve">Whilst the CEL responses to the paper have largely </w:t>
      </w:r>
      <w:proofErr w:type="spellStart"/>
      <w:r>
        <w:rPr>
          <w:rFonts w:asciiTheme="majorHAnsi" w:hAnsiTheme="majorHAnsi"/>
          <w:sz w:val="22"/>
          <w:szCs w:val="22"/>
        </w:rPr>
        <w:t>favoured</w:t>
      </w:r>
      <w:proofErr w:type="spellEnd"/>
      <w:r>
        <w:rPr>
          <w:rFonts w:asciiTheme="majorHAnsi" w:hAnsiTheme="majorHAnsi"/>
          <w:sz w:val="22"/>
          <w:szCs w:val="22"/>
        </w:rPr>
        <w:t xml:space="preserve"> research into andragogy / adult learning, I would strongly advise a more open strategy – as the two proposed sub-themes allow – so as to include the work of researchers who are working with both FE/HE and school practitioners – as is the case in CEMP, for example.  </w:t>
      </w:r>
    </w:p>
    <w:p w14:paraId="632EF0E4" w14:textId="77777777" w:rsidR="00525255" w:rsidRDefault="00525255">
      <w:pPr>
        <w:rPr>
          <w:rFonts w:asciiTheme="majorHAnsi" w:hAnsiTheme="majorHAnsi"/>
          <w:sz w:val="22"/>
          <w:szCs w:val="22"/>
        </w:rPr>
      </w:pPr>
    </w:p>
    <w:p w14:paraId="431D7B96" w14:textId="77777777" w:rsidR="00257D7C" w:rsidRDefault="00257D7C">
      <w:pPr>
        <w:rPr>
          <w:rFonts w:asciiTheme="majorHAnsi" w:hAnsiTheme="majorHAnsi"/>
          <w:sz w:val="22"/>
          <w:szCs w:val="22"/>
        </w:rPr>
      </w:pPr>
    </w:p>
    <w:p w14:paraId="708103DE" w14:textId="7EE0DF09" w:rsidR="007364F2" w:rsidRDefault="007364F2">
      <w:pPr>
        <w:rPr>
          <w:rFonts w:asciiTheme="majorHAnsi" w:hAnsiTheme="majorHAnsi"/>
          <w:sz w:val="22"/>
          <w:szCs w:val="22"/>
        </w:rPr>
      </w:pPr>
      <w:r>
        <w:rPr>
          <w:rFonts w:asciiTheme="majorHAnsi" w:hAnsiTheme="majorHAnsi"/>
          <w:sz w:val="22"/>
          <w:szCs w:val="22"/>
        </w:rPr>
        <w:br w:type="page"/>
      </w:r>
    </w:p>
    <w:p w14:paraId="14B1E039" w14:textId="77777777" w:rsidR="007364F2" w:rsidRPr="003A69D0" w:rsidRDefault="007364F2" w:rsidP="007364F2">
      <w:pPr>
        <w:rPr>
          <w:rFonts w:asciiTheme="majorHAnsi" w:hAnsiTheme="majorHAnsi"/>
          <w:sz w:val="22"/>
          <w:szCs w:val="22"/>
        </w:rPr>
      </w:pPr>
      <w:r w:rsidRPr="003A69D0">
        <w:rPr>
          <w:rFonts w:asciiTheme="majorHAnsi" w:hAnsiTheme="majorHAnsi"/>
          <w:sz w:val="22"/>
          <w:szCs w:val="22"/>
        </w:rPr>
        <w:t xml:space="preserve">Appendix – </w:t>
      </w:r>
      <w:proofErr w:type="spellStart"/>
      <w:r w:rsidRPr="003A69D0">
        <w:rPr>
          <w:rFonts w:asciiTheme="majorHAnsi" w:hAnsiTheme="majorHAnsi"/>
          <w:sz w:val="22"/>
          <w:szCs w:val="22"/>
        </w:rPr>
        <w:t>UoA</w:t>
      </w:r>
      <w:proofErr w:type="spellEnd"/>
      <w:r w:rsidRPr="003A69D0">
        <w:rPr>
          <w:rFonts w:asciiTheme="majorHAnsi" w:hAnsiTheme="majorHAnsi"/>
          <w:sz w:val="22"/>
          <w:szCs w:val="22"/>
        </w:rPr>
        <w:t xml:space="preserve"> 25 Panel membership 2014</w:t>
      </w:r>
    </w:p>
    <w:p w14:paraId="06F3B531" w14:textId="77777777" w:rsidR="007364F2" w:rsidRPr="003A69D0" w:rsidRDefault="007364F2" w:rsidP="007364F2">
      <w:pPr>
        <w:rPr>
          <w:rFonts w:asciiTheme="majorHAnsi" w:hAnsiTheme="majorHAnsi"/>
          <w:sz w:val="22"/>
          <w:szCs w:val="22"/>
        </w:rPr>
      </w:pPr>
    </w:p>
    <w:tbl>
      <w:tblPr>
        <w:tblW w:w="938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702"/>
        <w:gridCol w:w="3636"/>
        <w:gridCol w:w="236"/>
        <w:gridCol w:w="1797"/>
        <w:gridCol w:w="17"/>
      </w:tblGrid>
      <w:tr w:rsidR="007364F2" w:rsidRPr="003A69D0" w14:paraId="55C538C4" w14:textId="77777777" w:rsidTr="00DB5AEE">
        <w:trPr>
          <w:trHeight w:val="675"/>
          <w:jc w:val="center"/>
        </w:trPr>
        <w:tc>
          <w:tcPr>
            <w:tcW w:w="7338" w:type="dxa"/>
            <w:gridSpan w:val="2"/>
            <w:vAlign w:val="center"/>
          </w:tcPr>
          <w:p w14:paraId="4E7ABB0B" w14:textId="77777777" w:rsidR="007364F2" w:rsidRPr="003A69D0" w:rsidRDefault="007364F2" w:rsidP="00DB5AEE">
            <w:pPr>
              <w:rPr>
                <w:rFonts w:cs="Arial"/>
                <w:b/>
                <w:sz w:val="22"/>
                <w:szCs w:val="22"/>
              </w:rPr>
            </w:pPr>
            <w:r w:rsidRPr="003A69D0">
              <w:rPr>
                <w:rFonts w:cs="Arial"/>
                <w:b/>
                <w:sz w:val="22"/>
                <w:szCs w:val="22"/>
              </w:rPr>
              <w:t>Sub-panel 25: Education</w:t>
            </w:r>
          </w:p>
        </w:tc>
        <w:tc>
          <w:tcPr>
            <w:tcW w:w="2050" w:type="dxa"/>
            <w:gridSpan w:val="3"/>
          </w:tcPr>
          <w:p w14:paraId="55666F35" w14:textId="77777777" w:rsidR="007364F2" w:rsidRPr="003A69D0" w:rsidRDefault="007364F2" w:rsidP="00DB5AEE">
            <w:pPr>
              <w:spacing w:before="240"/>
              <w:jc w:val="right"/>
              <w:rPr>
                <w:rFonts w:cs="Arial"/>
                <w:b/>
                <w:sz w:val="22"/>
                <w:szCs w:val="22"/>
              </w:rPr>
            </w:pPr>
          </w:p>
        </w:tc>
      </w:tr>
      <w:tr w:rsidR="007364F2" w:rsidRPr="003A69D0" w14:paraId="3C0907A8" w14:textId="77777777" w:rsidTr="00DB5AEE">
        <w:trPr>
          <w:gridAfter w:val="1"/>
          <w:wAfter w:w="17" w:type="dxa"/>
          <w:trHeight w:val="420"/>
          <w:jc w:val="center"/>
        </w:trPr>
        <w:tc>
          <w:tcPr>
            <w:tcW w:w="3702" w:type="dxa"/>
            <w:tcBorders>
              <w:bottom w:val="single" w:sz="4" w:space="0" w:color="auto"/>
            </w:tcBorders>
            <w:vAlign w:val="center"/>
          </w:tcPr>
          <w:p w14:paraId="0A1FA25B" w14:textId="77777777" w:rsidR="007364F2" w:rsidRPr="003A69D0" w:rsidRDefault="007364F2" w:rsidP="00DB5AEE">
            <w:pPr>
              <w:rPr>
                <w:rFonts w:cs="Arial"/>
                <w:b/>
                <w:color w:val="000000"/>
                <w:sz w:val="22"/>
                <w:szCs w:val="22"/>
              </w:rPr>
            </w:pPr>
            <w:r w:rsidRPr="003A69D0">
              <w:rPr>
                <w:rFonts w:cs="Arial"/>
                <w:b/>
                <w:color w:val="000000"/>
                <w:sz w:val="22"/>
                <w:szCs w:val="22"/>
              </w:rPr>
              <w:t>Chair</w:t>
            </w:r>
          </w:p>
        </w:tc>
        <w:tc>
          <w:tcPr>
            <w:tcW w:w="3872" w:type="dxa"/>
            <w:gridSpan w:val="2"/>
            <w:tcBorders>
              <w:bottom w:val="single" w:sz="4" w:space="0" w:color="auto"/>
            </w:tcBorders>
            <w:vAlign w:val="center"/>
          </w:tcPr>
          <w:p w14:paraId="7AA426CA" w14:textId="77777777" w:rsidR="007364F2" w:rsidRPr="003A69D0" w:rsidRDefault="007364F2" w:rsidP="00DB5AEE">
            <w:pPr>
              <w:rPr>
                <w:rFonts w:cs="Arial"/>
                <w:sz w:val="22"/>
                <w:szCs w:val="22"/>
              </w:rPr>
            </w:pPr>
          </w:p>
        </w:tc>
        <w:tc>
          <w:tcPr>
            <w:tcW w:w="1797" w:type="dxa"/>
            <w:tcBorders>
              <w:bottom w:val="single" w:sz="4" w:space="0" w:color="auto"/>
            </w:tcBorders>
            <w:vAlign w:val="center"/>
          </w:tcPr>
          <w:p w14:paraId="06711A42" w14:textId="77777777" w:rsidR="007364F2" w:rsidRPr="003A69D0" w:rsidRDefault="007364F2" w:rsidP="00DB5AEE">
            <w:pPr>
              <w:jc w:val="right"/>
              <w:rPr>
                <w:rFonts w:cs="Arial"/>
                <w:sz w:val="22"/>
                <w:szCs w:val="22"/>
              </w:rPr>
            </w:pPr>
          </w:p>
        </w:tc>
      </w:tr>
      <w:tr w:rsidR="007364F2" w:rsidRPr="003A69D0" w14:paraId="6FEE818B" w14:textId="77777777" w:rsidTr="00DB5AEE">
        <w:trPr>
          <w:gridAfter w:val="1"/>
          <w:wAfter w:w="17" w:type="dxa"/>
          <w:trHeight w:val="420"/>
          <w:jc w:val="center"/>
        </w:trPr>
        <w:tc>
          <w:tcPr>
            <w:tcW w:w="3702" w:type="dxa"/>
            <w:tcBorders>
              <w:bottom w:val="dotted" w:sz="4" w:space="0" w:color="auto"/>
            </w:tcBorders>
            <w:vAlign w:val="center"/>
          </w:tcPr>
          <w:p w14:paraId="41777BEB" w14:textId="77777777" w:rsidR="007364F2" w:rsidRPr="003A69D0" w:rsidRDefault="007364F2" w:rsidP="00DB5AEE">
            <w:pPr>
              <w:rPr>
                <w:rFonts w:cs="Arial"/>
                <w:color w:val="000000"/>
                <w:sz w:val="22"/>
                <w:szCs w:val="22"/>
              </w:rPr>
            </w:pPr>
            <w:r w:rsidRPr="003A69D0">
              <w:rPr>
                <w:rFonts w:cs="Arial"/>
                <w:color w:val="000000"/>
                <w:sz w:val="22"/>
                <w:szCs w:val="22"/>
              </w:rPr>
              <w:t>Professor Andrew Pollard</w:t>
            </w:r>
          </w:p>
        </w:tc>
        <w:tc>
          <w:tcPr>
            <w:tcW w:w="3872" w:type="dxa"/>
            <w:gridSpan w:val="2"/>
            <w:tcBorders>
              <w:bottom w:val="dotted" w:sz="4" w:space="0" w:color="auto"/>
            </w:tcBorders>
            <w:vAlign w:val="center"/>
          </w:tcPr>
          <w:p w14:paraId="1FD9AF94" w14:textId="77777777" w:rsidR="007364F2" w:rsidRPr="003A69D0" w:rsidRDefault="007364F2" w:rsidP="00DB5AEE">
            <w:pPr>
              <w:rPr>
                <w:rFonts w:cs="Arial"/>
                <w:sz w:val="22"/>
                <w:szCs w:val="22"/>
              </w:rPr>
            </w:pPr>
            <w:r w:rsidRPr="003A69D0">
              <w:rPr>
                <w:rFonts w:cs="Arial"/>
                <w:sz w:val="22"/>
                <w:szCs w:val="22"/>
              </w:rPr>
              <w:t>Institute of Education, University of London</w:t>
            </w:r>
          </w:p>
        </w:tc>
        <w:tc>
          <w:tcPr>
            <w:tcW w:w="1797" w:type="dxa"/>
            <w:tcBorders>
              <w:bottom w:val="dotted" w:sz="4" w:space="0" w:color="auto"/>
            </w:tcBorders>
            <w:vAlign w:val="center"/>
          </w:tcPr>
          <w:p w14:paraId="7D3185FF" w14:textId="77777777" w:rsidR="007364F2" w:rsidRPr="003A69D0" w:rsidRDefault="007364F2" w:rsidP="00DB5AEE">
            <w:pPr>
              <w:jc w:val="right"/>
              <w:rPr>
                <w:rFonts w:cs="Arial"/>
                <w:sz w:val="22"/>
                <w:szCs w:val="22"/>
              </w:rPr>
            </w:pPr>
          </w:p>
        </w:tc>
      </w:tr>
      <w:tr w:rsidR="007364F2" w:rsidRPr="003A69D0" w14:paraId="4DE4C553" w14:textId="77777777" w:rsidTr="00DB5AEE">
        <w:trPr>
          <w:gridAfter w:val="1"/>
          <w:wAfter w:w="17" w:type="dxa"/>
          <w:trHeight w:val="420"/>
          <w:jc w:val="center"/>
        </w:trPr>
        <w:tc>
          <w:tcPr>
            <w:tcW w:w="3702" w:type="dxa"/>
            <w:tcBorders>
              <w:top w:val="dotted" w:sz="4" w:space="0" w:color="auto"/>
              <w:bottom w:val="single" w:sz="4" w:space="0" w:color="auto"/>
            </w:tcBorders>
            <w:vAlign w:val="center"/>
          </w:tcPr>
          <w:p w14:paraId="2BEC9FB8" w14:textId="77777777" w:rsidR="007364F2" w:rsidRPr="003A69D0" w:rsidRDefault="007364F2" w:rsidP="00DB5AEE">
            <w:pPr>
              <w:rPr>
                <w:rFonts w:cs="Arial"/>
                <w:b/>
                <w:color w:val="000000"/>
                <w:sz w:val="22"/>
                <w:szCs w:val="22"/>
              </w:rPr>
            </w:pPr>
            <w:r w:rsidRPr="003A69D0">
              <w:rPr>
                <w:rFonts w:cs="Arial"/>
                <w:b/>
                <w:color w:val="000000"/>
                <w:sz w:val="22"/>
                <w:szCs w:val="22"/>
              </w:rPr>
              <w:t>Deputy chairs</w:t>
            </w:r>
          </w:p>
        </w:tc>
        <w:tc>
          <w:tcPr>
            <w:tcW w:w="3872" w:type="dxa"/>
            <w:gridSpan w:val="2"/>
            <w:tcBorders>
              <w:top w:val="dotted" w:sz="4" w:space="0" w:color="auto"/>
              <w:bottom w:val="single" w:sz="4" w:space="0" w:color="auto"/>
            </w:tcBorders>
            <w:vAlign w:val="center"/>
          </w:tcPr>
          <w:p w14:paraId="2FB810D0" w14:textId="77777777" w:rsidR="007364F2" w:rsidRPr="003A69D0" w:rsidRDefault="007364F2" w:rsidP="00DB5AEE">
            <w:pPr>
              <w:rPr>
                <w:rFonts w:cs="Arial"/>
                <w:sz w:val="22"/>
                <w:szCs w:val="22"/>
              </w:rPr>
            </w:pPr>
          </w:p>
        </w:tc>
        <w:tc>
          <w:tcPr>
            <w:tcW w:w="1797" w:type="dxa"/>
            <w:tcBorders>
              <w:top w:val="dotted" w:sz="4" w:space="0" w:color="auto"/>
              <w:bottom w:val="single" w:sz="4" w:space="0" w:color="auto"/>
            </w:tcBorders>
            <w:vAlign w:val="center"/>
          </w:tcPr>
          <w:p w14:paraId="4369D387" w14:textId="77777777" w:rsidR="007364F2" w:rsidRPr="003A69D0" w:rsidRDefault="007364F2" w:rsidP="00DB5AEE">
            <w:pPr>
              <w:jc w:val="right"/>
              <w:rPr>
                <w:rFonts w:cs="Arial"/>
                <w:sz w:val="22"/>
                <w:szCs w:val="22"/>
              </w:rPr>
            </w:pPr>
          </w:p>
        </w:tc>
      </w:tr>
      <w:tr w:rsidR="007364F2" w:rsidRPr="003A69D0" w14:paraId="2013A0B4" w14:textId="77777777" w:rsidTr="00DB5AEE">
        <w:trPr>
          <w:gridAfter w:val="1"/>
          <w:wAfter w:w="17" w:type="dxa"/>
          <w:trHeight w:val="420"/>
          <w:jc w:val="center"/>
        </w:trPr>
        <w:tc>
          <w:tcPr>
            <w:tcW w:w="3702" w:type="dxa"/>
            <w:tcBorders>
              <w:bottom w:val="dotted" w:sz="4" w:space="0" w:color="auto"/>
            </w:tcBorders>
            <w:vAlign w:val="center"/>
          </w:tcPr>
          <w:p w14:paraId="5C72CE7A" w14:textId="77777777" w:rsidR="007364F2" w:rsidRPr="003A69D0" w:rsidRDefault="007364F2" w:rsidP="00DB5AEE">
            <w:pPr>
              <w:rPr>
                <w:rFonts w:cs="Arial"/>
                <w:color w:val="000000"/>
                <w:sz w:val="22"/>
                <w:szCs w:val="22"/>
              </w:rPr>
            </w:pPr>
            <w:r w:rsidRPr="003A69D0">
              <w:rPr>
                <w:rFonts w:cs="Arial"/>
                <w:color w:val="000000"/>
                <w:sz w:val="22"/>
                <w:szCs w:val="22"/>
              </w:rPr>
              <w:t>Professor John Leach</w:t>
            </w:r>
          </w:p>
        </w:tc>
        <w:tc>
          <w:tcPr>
            <w:tcW w:w="3872" w:type="dxa"/>
            <w:gridSpan w:val="2"/>
            <w:tcBorders>
              <w:bottom w:val="dotted" w:sz="4" w:space="0" w:color="auto"/>
            </w:tcBorders>
            <w:vAlign w:val="center"/>
          </w:tcPr>
          <w:p w14:paraId="3B68098B" w14:textId="77777777" w:rsidR="007364F2" w:rsidRPr="003A69D0" w:rsidRDefault="007364F2" w:rsidP="00DB5AEE">
            <w:pPr>
              <w:rPr>
                <w:rFonts w:cs="Arial"/>
                <w:sz w:val="22"/>
                <w:szCs w:val="22"/>
              </w:rPr>
            </w:pPr>
            <w:r w:rsidRPr="003A69D0">
              <w:rPr>
                <w:rFonts w:cs="Arial"/>
                <w:sz w:val="22"/>
                <w:szCs w:val="22"/>
              </w:rPr>
              <w:t xml:space="preserve">Sheffield </w:t>
            </w:r>
            <w:proofErr w:type="spellStart"/>
            <w:r w:rsidRPr="003A69D0">
              <w:rPr>
                <w:rFonts w:cs="Arial"/>
                <w:sz w:val="22"/>
                <w:szCs w:val="22"/>
              </w:rPr>
              <w:t>Hallam</w:t>
            </w:r>
            <w:proofErr w:type="spellEnd"/>
            <w:r w:rsidRPr="003A69D0">
              <w:rPr>
                <w:rFonts w:cs="Arial"/>
                <w:sz w:val="22"/>
                <w:szCs w:val="22"/>
              </w:rPr>
              <w:t xml:space="preserve"> University</w:t>
            </w:r>
          </w:p>
        </w:tc>
        <w:tc>
          <w:tcPr>
            <w:tcW w:w="1797" w:type="dxa"/>
            <w:tcBorders>
              <w:bottom w:val="dotted" w:sz="4" w:space="0" w:color="auto"/>
            </w:tcBorders>
            <w:vAlign w:val="center"/>
          </w:tcPr>
          <w:p w14:paraId="2142F091" w14:textId="77777777" w:rsidR="007364F2" w:rsidRPr="003A69D0" w:rsidRDefault="007364F2" w:rsidP="00DB5AEE">
            <w:pPr>
              <w:jc w:val="right"/>
              <w:rPr>
                <w:rFonts w:cs="Arial"/>
                <w:sz w:val="22"/>
                <w:szCs w:val="22"/>
              </w:rPr>
            </w:pPr>
          </w:p>
        </w:tc>
      </w:tr>
      <w:tr w:rsidR="007364F2" w:rsidRPr="003A69D0" w14:paraId="16B6B816" w14:textId="77777777" w:rsidTr="00DB5AEE">
        <w:trPr>
          <w:gridAfter w:val="1"/>
          <w:wAfter w:w="17" w:type="dxa"/>
          <w:trHeight w:val="420"/>
          <w:jc w:val="center"/>
        </w:trPr>
        <w:tc>
          <w:tcPr>
            <w:tcW w:w="3702" w:type="dxa"/>
            <w:tcBorders>
              <w:top w:val="dotted" w:sz="4" w:space="0" w:color="auto"/>
              <w:bottom w:val="single" w:sz="4" w:space="0" w:color="auto"/>
            </w:tcBorders>
            <w:vAlign w:val="center"/>
          </w:tcPr>
          <w:p w14:paraId="2C08CB72" w14:textId="77777777" w:rsidR="007364F2" w:rsidRPr="003A69D0" w:rsidRDefault="007364F2" w:rsidP="00DB5AEE">
            <w:pPr>
              <w:rPr>
                <w:rFonts w:cs="Arial"/>
                <w:b/>
                <w:color w:val="000000"/>
                <w:sz w:val="22"/>
                <w:szCs w:val="22"/>
              </w:rPr>
            </w:pPr>
            <w:r w:rsidRPr="003A69D0">
              <w:rPr>
                <w:rFonts w:cs="Arial"/>
                <w:b/>
                <w:color w:val="000000"/>
                <w:sz w:val="22"/>
                <w:szCs w:val="22"/>
              </w:rPr>
              <w:t>Member</w:t>
            </w:r>
          </w:p>
        </w:tc>
        <w:tc>
          <w:tcPr>
            <w:tcW w:w="3872" w:type="dxa"/>
            <w:gridSpan w:val="2"/>
            <w:tcBorders>
              <w:top w:val="dotted" w:sz="4" w:space="0" w:color="auto"/>
              <w:bottom w:val="single" w:sz="4" w:space="0" w:color="auto"/>
            </w:tcBorders>
            <w:vAlign w:val="center"/>
          </w:tcPr>
          <w:p w14:paraId="687194C6" w14:textId="77777777" w:rsidR="007364F2" w:rsidRPr="003A69D0" w:rsidRDefault="007364F2" w:rsidP="00DB5AEE">
            <w:pPr>
              <w:rPr>
                <w:rFonts w:cs="Arial"/>
                <w:sz w:val="22"/>
                <w:szCs w:val="22"/>
              </w:rPr>
            </w:pPr>
          </w:p>
        </w:tc>
        <w:tc>
          <w:tcPr>
            <w:tcW w:w="1797" w:type="dxa"/>
            <w:tcBorders>
              <w:top w:val="dotted" w:sz="4" w:space="0" w:color="auto"/>
              <w:bottom w:val="single" w:sz="4" w:space="0" w:color="auto"/>
            </w:tcBorders>
            <w:vAlign w:val="center"/>
          </w:tcPr>
          <w:p w14:paraId="68657141" w14:textId="77777777" w:rsidR="007364F2" w:rsidRPr="003A69D0" w:rsidRDefault="007364F2" w:rsidP="00DB5AEE">
            <w:pPr>
              <w:jc w:val="right"/>
              <w:rPr>
                <w:rFonts w:cs="Arial"/>
                <w:sz w:val="22"/>
                <w:szCs w:val="22"/>
              </w:rPr>
            </w:pPr>
          </w:p>
        </w:tc>
      </w:tr>
      <w:tr w:rsidR="007364F2" w:rsidRPr="003A69D0" w14:paraId="18BA87F4" w14:textId="77777777" w:rsidTr="00DB5AEE">
        <w:trPr>
          <w:gridAfter w:val="1"/>
          <w:wAfter w:w="17" w:type="dxa"/>
          <w:trHeight w:val="420"/>
          <w:jc w:val="center"/>
        </w:trPr>
        <w:tc>
          <w:tcPr>
            <w:tcW w:w="3702" w:type="dxa"/>
            <w:tcBorders>
              <w:bottom w:val="dotted" w:sz="4" w:space="0" w:color="auto"/>
            </w:tcBorders>
            <w:vAlign w:val="center"/>
          </w:tcPr>
          <w:p w14:paraId="7AC0E5ED" w14:textId="77777777" w:rsidR="007364F2" w:rsidRPr="003A69D0" w:rsidRDefault="007364F2" w:rsidP="00DB5AEE">
            <w:pPr>
              <w:rPr>
                <w:rFonts w:cs="Arial"/>
                <w:color w:val="000000"/>
                <w:sz w:val="22"/>
                <w:szCs w:val="22"/>
              </w:rPr>
            </w:pPr>
            <w:r w:rsidRPr="003A69D0">
              <w:rPr>
                <w:rFonts w:cs="Arial"/>
                <w:color w:val="000000"/>
                <w:sz w:val="22"/>
                <w:szCs w:val="22"/>
              </w:rPr>
              <w:t>Professor Paul Connolly</w:t>
            </w:r>
          </w:p>
        </w:tc>
        <w:tc>
          <w:tcPr>
            <w:tcW w:w="3872" w:type="dxa"/>
            <w:gridSpan w:val="2"/>
            <w:tcBorders>
              <w:bottom w:val="dotted" w:sz="4" w:space="0" w:color="auto"/>
            </w:tcBorders>
            <w:vAlign w:val="center"/>
          </w:tcPr>
          <w:p w14:paraId="5541AF4E" w14:textId="77777777" w:rsidR="007364F2" w:rsidRPr="003A69D0" w:rsidRDefault="007364F2" w:rsidP="00DB5AEE">
            <w:pPr>
              <w:rPr>
                <w:rFonts w:cs="Arial"/>
                <w:color w:val="000000"/>
                <w:sz w:val="22"/>
                <w:szCs w:val="22"/>
              </w:rPr>
            </w:pPr>
            <w:r w:rsidRPr="003A69D0">
              <w:rPr>
                <w:rFonts w:cs="Arial"/>
                <w:color w:val="000000"/>
                <w:sz w:val="22"/>
                <w:szCs w:val="22"/>
              </w:rPr>
              <w:t>Queen's University Belfast</w:t>
            </w:r>
          </w:p>
        </w:tc>
        <w:tc>
          <w:tcPr>
            <w:tcW w:w="1797" w:type="dxa"/>
            <w:tcBorders>
              <w:bottom w:val="dotted" w:sz="4" w:space="0" w:color="auto"/>
            </w:tcBorders>
            <w:vAlign w:val="center"/>
          </w:tcPr>
          <w:p w14:paraId="53EF2711" w14:textId="77777777" w:rsidR="007364F2" w:rsidRPr="003A69D0" w:rsidRDefault="007364F2" w:rsidP="00DB5AEE">
            <w:pPr>
              <w:jc w:val="right"/>
              <w:rPr>
                <w:sz w:val="22"/>
                <w:szCs w:val="22"/>
              </w:rPr>
            </w:pPr>
            <w:r w:rsidRPr="003A69D0">
              <w:rPr>
                <w:sz w:val="22"/>
                <w:szCs w:val="22"/>
              </w:rPr>
              <w:t>Joined Jul 2013</w:t>
            </w:r>
          </w:p>
        </w:tc>
      </w:tr>
      <w:tr w:rsidR="007364F2" w:rsidRPr="003A69D0" w14:paraId="41778351"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46FE47C6" w14:textId="77777777" w:rsidR="007364F2" w:rsidRPr="003A69D0" w:rsidRDefault="007364F2" w:rsidP="00DB5AEE">
            <w:pPr>
              <w:rPr>
                <w:rFonts w:cs="Arial"/>
                <w:color w:val="000000"/>
                <w:sz w:val="22"/>
                <w:szCs w:val="22"/>
              </w:rPr>
            </w:pPr>
            <w:r w:rsidRPr="003A69D0">
              <w:rPr>
                <w:rFonts w:cs="Arial"/>
                <w:color w:val="000000"/>
                <w:sz w:val="22"/>
                <w:szCs w:val="22"/>
              </w:rPr>
              <w:t>Professor James Conroy</w:t>
            </w:r>
          </w:p>
        </w:tc>
        <w:tc>
          <w:tcPr>
            <w:tcW w:w="3872" w:type="dxa"/>
            <w:gridSpan w:val="2"/>
            <w:tcBorders>
              <w:top w:val="dotted" w:sz="4" w:space="0" w:color="auto"/>
              <w:bottom w:val="dotted" w:sz="4" w:space="0" w:color="auto"/>
            </w:tcBorders>
            <w:vAlign w:val="center"/>
          </w:tcPr>
          <w:p w14:paraId="2414503F" w14:textId="77777777" w:rsidR="007364F2" w:rsidRPr="003A69D0" w:rsidRDefault="007364F2" w:rsidP="00DB5AEE">
            <w:pPr>
              <w:rPr>
                <w:rFonts w:cs="Arial"/>
                <w:color w:val="000000"/>
                <w:sz w:val="22"/>
                <w:szCs w:val="22"/>
              </w:rPr>
            </w:pPr>
            <w:r w:rsidRPr="003A69D0">
              <w:rPr>
                <w:rFonts w:cs="Arial"/>
                <w:color w:val="000000"/>
                <w:sz w:val="22"/>
                <w:szCs w:val="22"/>
              </w:rPr>
              <w:t>University of Glasgow</w:t>
            </w:r>
          </w:p>
        </w:tc>
        <w:tc>
          <w:tcPr>
            <w:tcW w:w="1797" w:type="dxa"/>
            <w:tcBorders>
              <w:top w:val="dotted" w:sz="4" w:space="0" w:color="auto"/>
              <w:bottom w:val="dotted" w:sz="4" w:space="0" w:color="auto"/>
            </w:tcBorders>
            <w:vAlign w:val="center"/>
          </w:tcPr>
          <w:p w14:paraId="3A574825" w14:textId="77777777" w:rsidR="007364F2" w:rsidRPr="003A69D0" w:rsidRDefault="007364F2" w:rsidP="00DB5AEE">
            <w:pPr>
              <w:jc w:val="right"/>
              <w:rPr>
                <w:sz w:val="22"/>
                <w:szCs w:val="22"/>
              </w:rPr>
            </w:pPr>
          </w:p>
        </w:tc>
      </w:tr>
      <w:tr w:rsidR="007364F2" w:rsidRPr="003A69D0" w14:paraId="4836BA67"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20F58608" w14:textId="77777777" w:rsidR="007364F2" w:rsidRPr="003A69D0" w:rsidRDefault="007364F2" w:rsidP="00DB5AEE">
            <w:pPr>
              <w:rPr>
                <w:rFonts w:cs="Arial"/>
                <w:color w:val="000000"/>
                <w:sz w:val="22"/>
                <w:szCs w:val="22"/>
              </w:rPr>
            </w:pPr>
            <w:r w:rsidRPr="003A69D0">
              <w:rPr>
                <w:rFonts w:cs="Arial"/>
                <w:color w:val="000000"/>
                <w:sz w:val="22"/>
                <w:szCs w:val="22"/>
              </w:rPr>
              <w:t xml:space="preserve">Professor Julian </w:t>
            </w:r>
            <w:bookmarkStart w:id="1" w:name="OLE_LINK7"/>
            <w:bookmarkStart w:id="2" w:name="OLE_LINK8"/>
            <w:r w:rsidRPr="003A69D0">
              <w:rPr>
                <w:rFonts w:cs="Arial"/>
                <w:color w:val="000000"/>
                <w:sz w:val="22"/>
                <w:szCs w:val="22"/>
              </w:rPr>
              <w:t>Elliott</w:t>
            </w:r>
            <w:bookmarkEnd w:id="1"/>
            <w:bookmarkEnd w:id="2"/>
          </w:p>
        </w:tc>
        <w:tc>
          <w:tcPr>
            <w:tcW w:w="3872" w:type="dxa"/>
            <w:gridSpan w:val="2"/>
            <w:tcBorders>
              <w:top w:val="dotted" w:sz="4" w:space="0" w:color="auto"/>
              <w:bottom w:val="dotted" w:sz="4" w:space="0" w:color="auto"/>
            </w:tcBorders>
            <w:vAlign w:val="center"/>
          </w:tcPr>
          <w:p w14:paraId="06239EF3" w14:textId="77777777" w:rsidR="007364F2" w:rsidRPr="003A69D0" w:rsidRDefault="007364F2" w:rsidP="00DB5AEE">
            <w:pPr>
              <w:rPr>
                <w:rFonts w:cs="Arial"/>
                <w:color w:val="000000"/>
                <w:sz w:val="22"/>
                <w:szCs w:val="22"/>
              </w:rPr>
            </w:pPr>
            <w:r w:rsidRPr="003A69D0">
              <w:rPr>
                <w:rFonts w:cs="Arial"/>
                <w:color w:val="000000"/>
                <w:sz w:val="22"/>
                <w:szCs w:val="22"/>
              </w:rPr>
              <w:t>Durham University</w:t>
            </w:r>
          </w:p>
        </w:tc>
        <w:tc>
          <w:tcPr>
            <w:tcW w:w="1797" w:type="dxa"/>
            <w:tcBorders>
              <w:top w:val="dotted" w:sz="4" w:space="0" w:color="auto"/>
              <w:bottom w:val="dotted" w:sz="4" w:space="0" w:color="auto"/>
            </w:tcBorders>
            <w:vAlign w:val="center"/>
          </w:tcPr>
          <w:p w14:paraId="1F95930A" w14:textId="77777777" w:rsidR="007364F2" w:rsidRPr="003A69D0" w:rsidRDefault="007364F2" w:rsidP="00DB5AEE">
            <w:pPr>
              <w:jc w:val="right"/>
              <w:rPr>
                <w:sz w:val="22"/>
                <w:szCs w:val="22"/>
              </w:rPr>
            </w:pPr>
          </w:p>
        </w:tc>
      </w:tr>
      <w:tr w:rsidR="007364F2" w:rsidRPr="003A69D0" w14:paraId="2733FB99"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7699DE1A" w14:textId="77777777" w:rsidR="007364F2" w:rsidRPr="003A69D0" w:rsidRDefault="007364F2" w:rsidP="00DB5AEE">
            <w:pPr>
              <w:rPr>
                <w:rFonts w:cs="Arial"/>
                <w:color w:val="000000"/>
                <w:sz w:val="22"/>
                <w:szCs w:val="22"/>
              </w:rPr>
            </w:pPr>
            <w:r w:rsidRPr="003A69D0">
              <w:rPr>
                <w:rFonts w:cs="Arial"/>
                <w:color w:val="000000"/>
                <w:sz w:val="22"/>
                <w:szCs w:val="22"/>
              </w:rPr>
              <w:t>Professor Becky Francis</w:t>
            </w:r>
          </w:p>
        </w:tc>
        <w:tc>
          <w:tcPr>
            <w:tcW w:w="3872" w:type="dxa"/>
            <w:gridSpan w:val="2"/>
            <w:tcBorders>
              <w:top w:val="dotted" w:sz="4" w:space="0" w:color="auto"/>
              <w:bottom w:val="dotted" w:sz="4" w:space="0" w:color="auto"/>
            </w:tcBorders>
            <w:vAlign w:val="center"/>
          </w:tcPr>
          <w:p w14:paraId="07EA7FBD" w14:textId="77777777" w:rsidR="007364F2" w:rsidRPr="003A69D0" w:rsidRDefault="007364F2" w:rsidP="00DB5AEE">
            <w:pPr>
              <w:rPr>
                <w:rFonts w:cs="Arial"/>
                <w:color w:val="000000"/>
                <w:sz w:val="22"/>
                <w:szCs w:val="22"/>
              </w:rPr>
            </w:pPr>
            <w:r w:rsidRPr="003A69D0">
              <w:rPr>
                <w:rFonts w:cs="Arial"/>
                <w:color w:val="000000"/>
                <w:sz w:val="22"/>
                <w:szCs w:val="22"/>
              </w:rPr>
              <w:t xml:space="preserve">King’s College London </w:t>
            </w:r>
          </w:p>
        </w:tc>
        <w:tc>
          <w:tcPr>
            <w:tcW w:w="1797" w:type="dxa"/>
            <w:tcBorders>
              <w:top w:val="dotted" w:sz="4" w:space="0" w:color="auto"/>
              <w:bottom w:val="dotted" w:sz="4" w:space="0" w:color="auto"/>
            </w:tcBorders>
            <w:vAlign w:val="center"/>
          </w:tcPr>
          <w:p w14:paraId="4A33258A" w14:textId="77777777" w:rsidR="007364F2" w:rsidRPr="003A69D0" w:rsidRDefault="007364F2" w:rsidP="00DB5AEE">
            <w:pPr>
              <w:jc w:val="right"/>
              <w:rPr>
                <w:sz w:val="22"/>
                <w:szCs w:val="22"/>
              </w:rPr>
            </w:pPr>
          </w:p>
        </w:tc>
      </w:tr>
      <w:tr w:rsidR="007364F2" w:rsidRPr="003A69D0" w14:paraId="668C32E5"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1047D59B" w14:textId="77777777" w:rsidR="007364F2" w:rsidRPr="003A69D0" w:rsidRDefault="007364F2" w:rsidP="00DB5AEE">
            <w:pPr>
              <w:rPr>
                <w:rFonts w:cs="Arial"/>
                <w:color w:val="000000"/>
                <w:sz w:val="22"/>
                <w:szCs w:val="22"/>
              </w:rPr>
            </w:pPr>
            <w:r w:rsidRPr="003A69D0">
              <w:rPr>
                <w:rFonts w:cs="Arial"/>
                <w:color w:val="000000"/>
                <w:sz w:val="22"/>
                <w:szCs w:val="22"/>
              </w:rPr>
              <w:t>Professor John Furlong</w:t>
            </w:r>
          </w:p>
        </w:tc>
        <w:tc>
          <w:tcPr>
            <w:tcW w:w="3872" w:type="dxa"/>
            <w:gridSpan w:val="2"/>
            <w:tcBorders>
              <w:top w:val="dotted" w:sz="4" w:space="0" w:color="auto"/>
              <w:bottom w:val="dotted" w:sz="4" w:space="0" w:color="auto"/>
            </w:tcBorders>
            <w:vAlign w:val="center"/>
          </w:tcPr>
          <w:p w14:paraId="2EDA578D" w14:textId="77777777" w:rsidR="007364F2" w:rsidRPr="003A69D0" w:rsidRDefault="007364F2" w:rsidP="00DB5AEE">
            <w:pPr>
              <w:rPr>
                <w:rFonts w:cs="Arial"/>
                <w:color w:val="000000"/>
                <w:sz w:val="22"/>
                <w:szCs w:val="22"/>
              </w:rPr>
            </w:pPr>
            <w:r w:rsidRPr="003A69D0">
              <w:rPr>
                <w:rFonts w:cs="Arial"/>
                <w:color w:val="000000"/>
                <w:sz w:val="22"/>
                <w:szCs w:val="22"/>
              </w:rPr>
              <w:t>University of Oxford</w:t>
            </w:r>
          </w:p>
        </w:tc>
        <w:tc>
          <w:tcPr>
            <w:tcW w:w="1797" w:type="dxa"/>
            <w:tcBorders>
              <w:top w:val="dotted" w:sz="4" w:space="0" w:color="auto"/>
              <w:bottom w:val="dotted" w:sz="4" w:space="0" w:color="auto"/>
            </w:tcBorders>
            <w:vAlign w:val="center"/>
          </w:tcPr>
          <w:p w14:paraId="095D9790" w14:textId="77777777" w:rsidR="007364F2" w:rsidRPr="003A69D0" w:rsidRDefault="007364F2" w:rsidP="00DB5AEE">
            <w:pPr>
              <w:jc w:val="right"/>
              <w:rPr>
                <w:sz w:val="22"/>
                <w:szCs w:val="22"/>
              </w:rPr>
            </w:pPr>
          </w:p>
        </w:tc>
      </w:tr>
      <w:tr w:rsidR="007364F2" w:rsidRPr="003A69D0" w14:paraId="7A10DBF1"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2B897540" w14:textId="77777777" w:rsidR="007364F2" w:rsidRPr="003A69D0" w:rsidRDefault="007364F2" w:rsidP="00DB5AEE">
            <w:pPr>
              <w:rPr>
                <w:rFonts w:cs="Arial"/>
                <w:color w:val="000000"/>
                <w:sz w:val="22"/>
                <w:szCs w:val="22"/>
              </w:rPr>
            </w:pPr>
            <w:r w:rsidRPr="003A69D0">
              <w:rPr>
                <w:rFonts w:cs="Arial"/>
                <w:color w:val="000000"/>
                <w:sz w:val="22"/>
                <w:szCs w:val="22"/>
              </w:rPr>
              <w:t>Professor John Gardner</w:t>
            </w:r>
          </w:p>
        </w:tc>
        <w:tc>
          <w:tcPr>
            <w:tcW w:w="3872" w:type="dxa"/>
            <w:gridSpan w:val="2"/>
            <w:tcBorders>
              <w:top w:val="dotted" w:sz="4" w:space="0" w:color="auto"/>
              <w:bottom w:val="dotted" w:sz="4" w:space="0" w:color="auto"/>
            </w:tcBorders>
            <w:vAlign w:val="center"/>
          </w:tcPr>
          <w:p w14:paraId="5363EDF8" w14:textId="77777777" w:rsidR="007364F2" w:rsidRPr="003A69D0" w:rsidRDefault="007364F2" w:rsidP="00DB5AEE">
            <w:pPr>
              <w:rPr>
                <w:rFonts w:cs="Arial"/>
                <w:color w:val="000000"/>
                <w:sz w:val="22"/>
                <w:szCs w:val="22"/>
              </w:rPr>
            </w:pPr>
            <w:r w:rsidRPr="003A69D0">
              <w:rPr>
                <w:rFonts w:cs="Arial"/>
                <w:color w:val="000000"/>
                <w:sz w:val="22"/>
                <w:szCs w:val="22"/>
              </w:rPr>
              <w:t xml:space="preserve">University of </w:t>
            </w:r>
            <w:proofErr w:type="spellStart"/>
            <w:r w:rsidRPr="003A69D0">
              <w:rPr>
                <w:rFonts w:cs="Arial"/>
                <w:color w:val="000000"/>
                <w:sz w:val="22"/>
                <w:szCs w:val="22"/>
              </w:rPr>
              <w:t>Stirling</w:t>
            </w:r>
            <w:proofErr w:type="spellEnd"/>
          </w:p>
        </w:tc>
        <w:tc>
          <w:tcPr>
            <w:tcW w:w="1797" w:type="dxa"/>
            <w:tcBorders>
              <w:top w:val="dotted" w:sz="4" w:space="0" w:color="auto"/>
              <w:bottom w:val="dotted" w:sz="4" w:space="0" w:color="auto"/>
            </w:tcBorders>
            <w:vAlign w:val="center"/>
          </w:tcPr>
          <w:p w14:paraId="3BAD1524" w14:textId="77777777" w:rsidR="007364F2" w:rsidRPr="003A69D0" w:rsidRDefault="007364F2" w:rsidP="00DB5AEE">
            <w:pPr>
              <w:jc w:val="right"/>
              <w:rPr>
                <w:sz w:val="22"/>
                <w:szCs w:val="22"/>
              </w:rPr>
            </w:pPr>
            <w:r w:rsidRPr="003A69D0">
              <w:rPr>
                <w:sz w:val="22"/>
                <w:szCs w:val="22"/>
              </w:rPr>
              <w:t xml:space="preserve">Changed </w:t>
            </w:r>
            <w:proofErr w:type="spellStart"/>
            <w:r w:rsidRPr="003A69D0">
              <w:rPr>
                <w:sz w:val="22"/>
                <w:szCs w:val="22"/>
              </w:rPr>
              <w:t>Inst</w:t>
            </w:r>
            <w:proofErr w:type="spellEnd"/>
            <w:r w:rsidRPr="003A69D0">
              <w:rPr>
                <w:sz w:val="22"/>
                <w:szCs w:val="22"/>
              </w:rPr>
              <w:t xml:space="preserve"> Mar 2013 </w:t>
            </w:r>
          </w:p>
        </w:tc>
      </w:tr>
      <w:tr w:rsidR="007364F2" w:rsidRPr="003A69D0" w14:paraId="1C0F5DD6"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73D2B2E5" w14:textId="77777777" w:rsidR="007364F2" w:rsidRPr="003A69D0" w:rsidRDefault="007364F2" w:rsidP="00DB5AEE">
            <w:pPr>
              <w:rPr>
                <w:rFonts w:cs="Arial"/>
                <w:color w:val="000000"/>
                <w:sz w:val="22"/>
                <w:szCs w:val="22"/>
              </w:rPr>
            </w:pPr>
            <w:proofErr w:type="spellStart"/>
            <w:r w:rsidRPr="003A69D0">
              <w:rPr>
                <w:rFonts w:cs="Arial"/>
                <w:color w:val="000000"/>
                <w:sz w:val="22"/>
                <w:szCs w:val="22"/>
              </w:rPr>
              <w:t>Mr</w:t>
            </w:r>
            <w:proofErr w:type="spellEnd"/>
            <w:r w:rsidRPr="003A69D0">
              <w:rPr>
                <w:rFonts w:cs="Arial"/>
                <w:color w:val="000000"/>
                <w:sz w:val="22"/>
                <w:szCs w:val="22"/>
              </w:rPr>
              <w:t xml:space="preserve"> Tom Hamilton</w:t>
            </w:r>
          </w:p>
        </w:tc>
        <w:tc>
          <w:tcPr>
            <w:tcW w:w="3872" w:type="dxa"/>
            <w:gridSpan w:val="2"/>
            <w:tcBorders>
              <w:top w:val="dotted" w:sz="4" w:space="0" w:color="auto"/>
              <w:bottom w:val="dotted" w:sz="4" w:space="0" w:color="auto"/>
            </w:tcBorders>
            <w:vAlign w:val="center"/>
          </w:tcPr>
          <w:p w14:paraId="7525EF41" w14:textId="77777777" w:rsidR="007364F2" w:rsidRPr="003A69D0" w:rsidRDefault="007364F2" w:rsidP="00DB5AEE">
            <w:pPr>
              <w:rPr>
                <w:rFonts w:cs="Arial"/>
                <w:color w:val="000000"/>
                <w:sz w:val="22"/>
                <w:szCs w:val="22"/>
              </w:rPr>
            </w:pPr>
            <w:r w:rsidRPr="003A69D0">
              <w:rPr>
                <w:rFonts w:cs="Arial"/>
                <w:color w:val="000000"/>
                <w:sz w:val="22"/>
                <w:szCs w:val="22"/>
              </w:rPr>
              <w:t>General Teaching Council for Scotland</w:t>
            </w:r>
          </w:p>
        </w:tc>
        <w:tc>
          <w:tcPr>
            <w:tcW w:w="1797" w:type="dxa"/>
            <w:tcBorders>
              <w:top w:val="dotted" w:sz="4" w:space="0" w:color="auto"/>
              <w:bottom w:val="dotted" w:sz="4" w:space="0" w:color="auto"/>
            </w:tcBorders>
            <w:vAlign w:val="center"/>
          </w:tcPr>
          <w:p w14:paraId="4B587863" w14:textId="77777777" w:rsidR="007364F2" w:rsidRPr="003A69D0" w:rsidRDefault="007364F2" w:rsidP="00DB5AEE">
            <w:pPr>
              <w:jc w:val="right"/>
              <w:rPr>
                <w:sz w:val="22"/>
                <w:szCs w:val="22"/>
              </w:rPr>
            </w:pPr>
          </w:p>
        </w:tc>
      </w:tr>
      <w:tr w:rsidR="007364F2" w:rsidRPr="003A69D0" w14:paraId="7C29265C"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148F957D" w14:textId="77777777" w:rsidR="007364F2" w:rsidRPr="003A69D0" w:rsidRDefault="007364F2" w:rsidP="00DB5AEE">
            <w:pPr>
              <w:rPr>
                <w:rFonts w:cs="Arial"/>
                <w:color w:val="000000"/>
                <w:sz w:val="22"/>
                <w:szCs w:val="22"/>
              </w:rPr>
            </w:pPr>
            <w:r w:rsidRPr="003A69D0">
              <w:rPr>
                <w:rFonts w:cs="Arial"/>
                <w:color w:val="000000"/>
                <w:sz w:val="22"/>
                <w:szCs w:val="22"/>
              </w:rPr>
              <w:t>Professor David James</w:t>
            </w:r>
          </w:p>
        </w:tc>
        <w:tc>
          <w:tcPr>
            <w:tcW w:w="3872" w:type="dxa"/>
            <w:gridSpan w:val="2"/>
            <w:tcBorders>
              <w:top w:val="dotted" w:sz="4" w:space="0" w:color="auto"/>
              <w:bottom w:val="dotted" w:sz="4" w:space="0" w:color="auto"/>
            </w:tcBorders>
            <w:vAlign w:val="center"/>
          </w:tcPr>
          <w:p w14:paraId="63669F78" w14:textId="77777777" w:rsidR="007364F2" w:rsidRPr="003A69D0" w:rsidRDefault="007364F2" w:rsidP="00DB5AEE">
            <w:pPr>
              <w:rPr>
                <w:rFonts w:cs="Arial"/>
                <w:color w:val="000000"/>
                <w:sz w:val="22"/>
                <w:szCs w:val="22"/>
              </w:rPr>
            </w:pPr>
            <w:r w:rsidRPr="003A69D0">
              <w:rPr>
                <w:rFonts w:cs="Arial"/>
                <w:color w:val="000000"/>
                <w:sz w:val="22"/>
                <w:szCs w:val="22"/>
              </w:rPr>
              <w:t>Cardiff University</w:t>
            </w:r>
          </w:p>
        </w:tc>
        <w:tc>
          <w:tcPr>
            <w:tcW w:w="1797" w:type="dxa"/>
            <w:tcBorders>
              <w:top w:val="dotted" w:sz="4" w:space="0" w:color="auto"/>
              <w:bottom w:val="dotted" w:sz="4" w:space="0" w:color="auto"/>
            </w:tcBorders>
            <w:vAlign w:val="center"/>
          </w:tcPr>
          <w:p w14:paraId="7300AE3C" w14:textId="77777777" w:rsidR="007364F2" w:rsidRPr="003A69D0" w:rsidRDefault="007364F2" w:rsidP="00DB5AEE">
            <w:pPr>
              <w:jc w:val="right"/>
              <w:rPr>
                <w:sz w:val="22"/>
                <w:szCs w:val="22"/>
              </w:rPr>
            </w:pPr>
            <w:r w:rsidRPr="003A69D0">
              <w:rPr>
                <w:sz w:val="22"/>
                <w:szCs w:val="22"/>
              </w:rPr>
              <w:t xml:space="preserve">Changed </w:t>
            </w:r>
            <w:proofErr w:type="spellStart"/>
            <w:r w:rsidRPr="003A69D0">
              <w:rPr>
                <w:sz w:val="22"/>
                <w:szCs w:val="22"/>
              </w:rPr>
              <w:t>Inst</w:t>
            </w:r>
            <w:proofErr w:type="spellEnd"/>
            <w:r w:rsidRPr="003A69D0">
              <w:rPr>
                <w:sz w:val="22"/>
                <w:szCs w:val="22"/>
              </w:rPr>
              <w:t xml:space="preserve"> Mar 2013</w:t>
            </w:r>
          </w:p>
        </w:tc>
      </w:tr>
      <w:tr w:rsidR="007364F2" w:rsidRPr="003A69D0" w14:paraId="4D1D5FA2"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51B18D49" w14:textId="77777777" w:rsidR="007364F2" w:rsidRPr="003A69D0" w:rsidRDefault="007364F2" w:rsidP="00DB5AEE">
            <w:pPr>
              <w:rPr>
                <w:rFonts w:cs="Arial"/>
                <w:color w:val="000000"/>
                <w:sz w:val="22"/>
                <w:szCs w:val="22"/>
              </w:rPr>
            </w:pPr>
            <w:r w:rsidRPr="003A69D0">
              <w:rPr>
                <w:rFonts w:cs="Arial"/>
                <w:color w:val="000000"/>
                <w:sz w:val="22"/>
                <w:szCs w:val="22"/>
              </w:rPr>
              <w:t>Professor Anthony Kelly</w:t>
            </w:r>
          </w:p>
        </w:tc>
        <w:tc>
          <w:tcPr>
            <w:tcW w:w="3872" w:type="dxa"/>
            <w:gridSpan w:val="2"/>
            <w:tcBorders>
              <w:top w:val="dotted" w:sz="4" w:space="0" w:color="auto"/>
              <w:bottom w:val="dotted" w:sz="4" w:space="0" w:color="auto"/>
            </w:tcBorders>
            <w:vAlign w:val="center"/>
          </w:tcPr>
          <w:p w14:paraId="2385F8B9" w14:textId="77777777" w:rsidR="007364F2" w:rsidRPr="003A69D0" w:rsidRDefault="007364F2" w:rsidP="00DB5AEE">
            <w:pPr>
              <w:rPr>
                <w:rFonts w:cs="Arial"/>
                <w:color w:val="000000"/>
                <w:sz w:val="22"/>
                <w:szCs w:val="22"/>
              </w:rPr>
            </w:pPr>
            <w:r w:rsidRPr="003A69D0">
              <w:rPr>
                <w:rFonts w:cs="Arial"/>
                <w:color w:val="000000"/>
                <w:sz w:val="22"/>
                <w:szCs w:val="22"/>
              </w:rPr>
              <w:t>University of Southampton</w:t>
            </w:r>
          </w:p>
        </w:tc>
        <w:tc>
          <w:tcPr>
            <w:tcW w:w="1797" w:type="dxa"/>
            <w:tcBorders>
              <w:top w:val="dotted" w:sz="4" w:space="0" w:color="auto"/>
              <w:bottom w:val="dotted" w:sz="4" w:space="0" w:color="auto"/>
            </w:tcBorders>
            <w:vAlign w:val="center"/>
          </w:tcPr>
          <w:p w14:paraId="65A38475" w14:textId="77777777" w:rsidR="007364F2" w:rsidRPr="003A69D0" w:rsidRDefault="007364F2" w:rsidP="00DB5AEE">
            <w:pPr>
              <w:jc w:val="right"/>
              <w:rPr>
                <w:sz w:val="22"/>
                <w:szCs w:val="22"/>
              </w:rPr>
            </w:pPr>
          </w:p>
        </w:tc>
      </w:tr>
      <w:tr w:rsidR="007364F2" w:rsidRPr="003A69D0" w14:paraId="4FF0662B"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7AEAAF9A" w14:textId="77777777" w:rsidR="007364F2" w:rsidRPr="003A69D0" w:rsidRDefault="007364F2" w:rsidP="00DB5AEE">
            <w:pPr>
              <w:rPr>
                <w:rFonts w:cs="Arial"/>
                <w:color w:val="000000"/>
                <w:sz w:val="22"/>
                <w:szCs w:val="22"/>
              </w:rPr>
            </w:pPr>
            <w:r w:rsidRPr="003A69D0">
              <w:rPr>
                <w:rFonts w:cs="Arial"/>
                <w:color w:val="000000"/>
                <w:sz w:val="22"/>
                <w:szCs w:val="22"/>
              </w:rPr>
              <w:t xml:space="preserve">Professor </w:t>
            </w:r>
            <w:proofErr w:type="spellStart"/>
            <w:r w:rsidRPr="003A69D0">
              <w:rPr>
                <w:rFonts w:cs="Arial"/>
                <w:color w:val="000000"/>
                <w:sz w:val="22"/>
                <w:szCs w:val="22"/>
              </w:rPr>
              <w:t>Uvanney</w:t>
            </w:r>
            <w:proofErr w:type="spellEnd"/>
            <w:r w:rsidRPr="003A69D0">
              <w:rPr>
                <w:rFonts w:cs="Arial"/>
                <w:color w:val="000000"/>
                <w:sz w:val="22"/>
                <w:szCs w:val="22"/>
              </w:rPr>
              <w:t xml:space="preserve"> </w:t>
            </w:r>
            <w:proofErr w:type="spellStart"/>
            <w:r w:rsidRPr="003A69D0">
              <w:rPr>
                <w:rFonts w:cs="Arial"/>
                <w:color w:val="000000"/>
                <w:sz w:val="22"/>
                <w:szCs w:val="22"/>
              </w:rPr>
              <w:t>Maylor</w:t>
            </w:r>
            <w:proofErr w:type="spellEnd"/>
          </w:p>
        </w:tc>
        <w:tc>
          <w:tcPr>
            <w:tcW w:w="3872" w:type="dxa"/>
            <w:gridSpan w:val="2"/>
            <w:tcBorders>
              <w:top w:val="dotted" w:sz="4" w:space="0" w:color="auto"/>
              <w:bottom w:val="dotted" w:sz="4" w:space="0" w:color="auto"/>
            </w:tcBorders>
            <w:vAlign w:val="center"/>
          </w:tcPr>
          <w:p w14:paraId="185F9A6A" w14:textId="77777777" w:rsidR="007364F2" w:rsidRPr="003A69D0" w:rsidRDefault="007364F2" w:rsidP="00DB5AEE">
            <w:pPr>
              <w:rPr>
                <w:rFonts w:cs="Arial"/>
                <w:color w:val="000000"/>
                <w:sz w:val="22"/>
                <w:szCs w:val="22"/>
              </w:rPr>
            </w:pPr>
            <w:r w:rsidRPr="003A69D0">
              <w:rPr>
                <w:rFonts w:cs="Arial"/>
                <w:color w:val="000000"/>
                <w:sz w:val="22"/>
                <w:szCs w:val="22"/>
              </w:rPr>
              <w:t>University of Bedfordshire</w:t>
            </w:r>
          </w:p>
        </w:tc>
        <w:tc>
          <w:tcPr>
            <w:tcW w:w="1797" w:type="dxa"/>
            <w:tcBorders>
              <w:top w:val="dotted" w:sz="4" w:space="0" w:color="auto"/>
              <w:bottom w:val="dotted" w:sz="4" w:space="0" w:color="auto"/>
            </w:tcBorders>
            <w:vAlign w:val="center"/>
          </w:tcPr>
          <w:p w14:paraId="26B3848A" w14:textId="77777777" w:rsidR="007364F2" w:rsidRPr="003A69D0" w:rsidRDefault="007364F2" w:rsidP="00DB5AEE">
            <w:pPr>
              <w:jc w:val="right"/>
              <w:rPr>
                <w:sz w:val="22"/>
                <w:szCs w:val="22"/>
              </w:rPr>
            </w:pPr>
          </w:p>
        </w:tc>
      </w:tr>
      <w:tr w:rsidR="007364F2" w:rsidRPr="003A69D0" w14:paraId="7055E39A"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548C56C3" w14:textId="77777777" w:rsidR="007364F2" w:rsidRPr="003A69D0" w:rsidRDefault="007364F2" w:rsidP="00DB5AEE">
            <w:pPr>
              <w:rPr>
                <w:rFonts w:cs="Arial"/>
                <w:color w:val="000000"/>
                <w:sz w:val="22"/>
                <w:szCs w:val="22"/>
              </w:rPr>
            </w:pPr>
            <w:r w:rsidRPr="003A69D0">
              <w:rPr>
                <w:rFonts w:cs="Arial"/>
                <w:color w:val="000000"/>
                <w:sz w:val="22"/>
                <w:szCs w:val="22"/>
              </w:rPr>
              <w:t>Professor Trisha Maynard</w:t>
            </w:r>
          </w:p>
        </w:tc>
        <w:tc>
          <w:tcPr>
            <w:tcW w:w="3872" w:type="dxa"/>
            <w:gridSpan w:val="2"/>
            <w:tcBorders>
              <w:top w:val="dotted" w:sz="4" w:space="0" w:color="auto"/>
              <w:bottom w:val="dotted" w:sz="4" w:space="0" w:color="auto"/>
            </w:tcBorders>
            <w:vAlign w:val="center"/>
          </w:tcPr>
          <w:p w14:paraId="26E95A32" w14:textId="77777777" w:rsidR="007364F2" w:rsidRPr="003A69D0" w:rsidRDefault="007364F2" w:rsidP="00DB5AEE">
            <w:pPr>
              <w:rPr>
                <w:rFonts w:cs="Arial"/>
                <w:color w:val="000000"/>
                <w:sz w:val="22"/>
                <w:szCs w:val="22"/>
              </w:rPr>
            </w:pPr>
            <w:r w:rsidRPr="003A69D0">
              <w:rPr>
                <w:rFonts w:cs="Arial"/>
                <w:color w:val="000000"/>
                <w:sz w:val="22"/>
                <w:szCs w:val="22"/>
              </w:rPr>
              <w:t>Canterbury Christ Church University</w:t>
            </w:r>
          </w:p>
        </w:tc>
        <w:tc>
          <w:tcPr>
            <w:tcW w:w="1797" w:type="dxa"/>
            <w:tcBorders>
              <w:top w:val="dotted" w:sz="4" w:space="0" w:color="auto"/>
              <w:bottom w:val="dotted" w:sz="4" w:space="0" w:color="auto"/>
            </w:tcBorders>
            <w:vAlign w:val="center"/>
          </w:tcPr>
          <w:p w14:paraId="61360475" w14:textId="77777777" w:rsidR="007364F2" w:rsidRPr="003A69D0" w:rsidRDefault="007364F2" w:rsidP="00DB5AEE">
            <w:pPr>
              <w:jc w:val="right"/>
              <w:rPr>
                <w:sz w:val="22"/>
                <w:szCs w:val="22"/>
              </w:rPr>
            </w:pPr>
          </w:p>
        </w:tc>
      </w:tr>
      <w:tr w:rsidR="007364F2" w:rsidRPr="003A69D0" w14:paraId="1A2106BF"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2A0988C0" w14:textId="77777777" w:rsidR="007364F2" w:rsidRPr="003A69D0" w:rsidRDefault="007364F2" w:rsidP="00DB5AEE">
            <w:pPr>
              <w:rPr>
                <w:rFonts w:cs="Arial"/>
                <w:color w:val="000000"/>
                <w:sz w:val="22"/>
                <w:szCs w:val="22"/>
              </w:rPr>
            </w:pPr>
            <w:r w:rsidRPr="003A69D0">
              <w:rPr>
                <w:rFonts w:cs="Arial"/>
                <w:color w:val="000000"/>
                <w:sz w:val="22"/>
                <w:szCs w:val="22"/>
              </w:rPr>
              <w:t xml:space="preserve">Professor Debra </w:t>
            </w:r>
            <w:proofErr w:type="spellStart"/>
            <w:r w:rsidRPr="003A69D0">
              <w:rPr>
                <w:rFonts w:cs="Arial"/>
                <w:color w:val="000000"/>
                <w:sz w:val="22"/>
                <w:szCs w:val="22"/>
              </w:rPr>
              <w:t>Myhill</w:t>
            </w:r>
            <w:proofErr w:type="spellEnd"/>
            <w:r w:rsidRPr="003A69D0">
              <w:rPr>
                <w:rFonts w:cs="Arial"/>
                <w:color w:val="000000"/>
                <w:sz w:val="22"/>
                <w:szCs w:val="22"/>
              </w:rPr>
              <w:t xml:space="preserve"> </w:t>
            </w:r>
          </w:p>
        </w:tc>
        <w:tc>
          <w:tcPr>
            <w:tcW w:w="3872" w:type="dxa"/>
            <w:gridSpan w:val="2"/>
            <w:tcBorders>
              <w:top w:val="dotted" w:sz="4" w:space="0" w:color="auto"/>
              <w:bottom w:val="dotted" w:sz="4" w:space="0" w:color="auto"/>
            </w:tcBorders>
            <w:vAlign w:val="center"/>
          </w:tcPr>
          <w:p w14:paraId="4AD006B1" w14:textId="77777777" w:rsidR="007364F2" w:rsidRPr="003A69D0" w:rsidRDefault="007364F2" w:rsidP="00DB5AEE">
            <w:pPr>
              <w:rPr>
                <w:rFonts w:cs="Arial"/>
                <w:color w:val="000000"/>
                <w:sz w:val="22"/>
                <w:szCs w:val="22"/>
              </w:rPr>
            </w:pPr>
            <w:r w:rsidRPr="003A69D0">
              <w:rPr>
                <w:rFonts w:cs="Arial"/>
                <w:color w:val="000000"/>
                <w:sz w:val="22"/>
                <w:szCs w:val="22"/>
              </w:rPr>
              <w:t>University of Exeter</w:t>
            </w:r>
          </w:p>
        </w:tc>
        <w:tc>
          <w:tcPr>
            <w:tcW w:w="1797" w:type="dxa"/>
            <w:tcBorders>
              <w:top w:val="dotted" w:sz="4" w:space="0" w:color="auto"/>
              <w:bottom w:val="dotted" w:sz="4" w:space="0" w:color="auto"/>
            </w:tcBorders>
            <w:vAlign w:val="center"/>
          </w:tcPr>
          <w:p w14:paraId="299D7F15" w14:textId="77777777" w:rsidR="007364F2" w:rsidRPr="003A69D0" w:rsidRDefault="007364F2" w:rsidP="00DB5AEE">
            <w:pPr>
              <w:jc w:val="right"/>
              <w:rPr>
                <w:sz w:val="22"/>
                <w:szCs w:val="22"/>
              </w:rPr>
            </w:pPr>
          </w:p>
        </w:tc>
      </w:tr>
      <w:tr w:rsidR="007364F2" w:rsidRPr="003A69D0" w14:paraId="00C881EE"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000C971F" w14:textId="77777777" w:rsidR="007364F2" w:rsidRPr="003A69D0" w:rsidRDefault="007364F2" w:rsidP="00DB5AEE">
            <w:pPr>
              <w:rPr>
                <w:rFonts w:cs="Arial"/>
                <w:color w:val="000000"/>
                <w:sz w:val="22"/>
                <w:szCs w:val="22"/>
              </w:rPr>
            </w:pPr>
            <w:r w:rsidRPr="003A69D0">
              <w:rPr>
                <w:rFonts w:cs="Arial"/>
                <w:color w:val="000000"/>
                <w:sz w:val="22"/>
                <w:szCs w:val="22"/>
              </w:rPr>
              <w:t xml:space="preserve">Professor Cathy </w:t>
            </w:r>
            <w:proofErr w:type="spellStart"/>
            <w:r w:rsidRPr="003A69D0">
              <w:rPr>
                <w:rFonts w:cs="Arial"/>
                <w:color w:val="000000"/>
                <w:sz w:val="22"/>
                <w:szCs w:val="22"/>
              </w:rPr>
              <w:t>Nutbrown</w:t>
            </w:r>
            <w:proofErr w:type="spellEnd"/>
          </w:p>
        </w:tc>
        <w:tc>
          <w:tcPr>
            <w:tcW w:w="3872" w:type="dxa"/>
            <w:gridSpan w:val="2"/>
            <w:tcBorders>
              <w:top w:val="dotted" w:sz="4" w:space="0" w:color="auto"/>
              <w:bottom w:val="dotted" w:sz="4" w:space="0" w:color="auto"/>
            </w:tcBorders>
            <w:vAlign w:val="center"/>
          </w:tcPr>
          <w:p w14:paraId="7E0E298B" w14:textId="77777777" w:rsidR="007364F2" w:rsidRPr="003A69D0" w:rsidRDefault="007364F2" w:rsidP="00DB5AEE">
            <w:pPr>
              <w:rPr>
                <w:rFonts w:cs="Arial"/>
                <w:color w:val="000000"/>
                <w:sz w:val="22"/>
                <w:szCs w:val="22"/>
              </w:rPr>
            </w:pPr>
            <w:r w:rsidRPr="003A69D0">
              <w:rPr>
                <w:rFonts w:cs="Arial"/>
                <w:color w:val="000000"/>
                <w:sz w:val="22"/>
                <w:szCs w:val="22"/>
              </w:rPr>
              <w:t>University of Sheffield</w:t>
            </w:r>
          </w:p>
        </w:tc>
        <w:tc>
          <w:tcPr>
            <w:tcW w:w="1797" w:type="dxa"/>
            <w:tcBorders>
              <w:top w:val="dotted" w:sz="4" w:space="0" w:color="auto"/>
              <w:bottom w:val="dotted" w:sz="4" w:space="0" w:color="auto"/>
            </w:tcBorders>
            <w:vAlign w:val="center"/>
          </w:tcPr>
          <w:p w14:paraId="005CBCED" w14:textId="77777777" w:rsidR="007364F2" w:rsidRPr="003A69D0" w:rsidRDefault="007364F2" w:rsidP="00DB5AEE">
            <w:pPr>
              <w:jc w:val="right"/>
              <w:rPr>
                <w:sz w:val="22"/>
                <w:szCs w:val="22"/>
              </w:rPr>
            </w:pPr>
            <w:r w:rsidRPr="003A69D0">
              <w:rPr>
                <w:sz w:val="22"/>
                <w:szCs w:val="22"/>
              </w:rPr>
              <w:t>Joined Oct 2013</w:t>
            </w:r>
          </w:p>
        </w:tc>
      </w:tr>
      <w:tr w:rsidR="007364F2" w:rsidRPr="003A69D0" w14:paraId="04E0A1E8"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272D32EC" w14:textId="77777777" w:rsidR="007364F2" w:rsidRPr="003A69D0" w:rsidRDefault="007364F2" w:rsidP="00DB5AEE">
            <w:pPr>
              <w:rPr>
                <w:rFonts w:cs="Arial"/>
                <w:color w:val="000000"/>
                <w:sz w:val="22"/>
                <w:szCs w:val="22"/>
              </w:rPr>
            </w:pPr>
            <w:r w:rsidRPr="003A69D0">
              <w:rPr>
                <w:rFonts w:cs="Arial"/>
                <w:color w:val="000000"/>
                <w:sz w:val="22"/>
                <w:szCs w:val="22"/>
              </w:rPr>
              <w:t>Professor Sally Power</w:t>
            </w:r>
          </w:p>
        </w:tc>
        <w:tc>
          <w:tcPr>
            <w:tcW w:w="3872" w:type="dxa"/>
            <w:gridSpan w:val="2"/>
            <w:tcBorders>
              <w:top w:val="dotted" w:sz="4" w:space="0" w:color="auto"/>
              <w:bottom w:val="dotted" w:sz="4" w:space="0" w:color="auto"/>
            </w:tcBorders>
            <w:vAlign w:val="center"/>
          </w:tcPr>
          <w:p w14:paraId="0C075713" w14:textId="77777777" w:rsidR="007364F2" w:rsidRPr="003A69D0" w:rsidRDefault="007364F2" w:rsidP="00DB5AEE">
            <w:pPr>
              <w:rPr>
                <w:rFonts w:cs="Arial"/>
                <w:color w:val="000000"/>
                <w:sz w:val="22"/>
                <w:szCs w:val="22"/>
              </w:rPr>
            </w:pPr>
            <w:r w:rsidRPr="003A69D0">
              <w:rPr>
                <w:rFonts w:cs="Arial"/>
                <w:color w:val="000000"/>
                <w:sz w:val="22"/>
                <w:szCs w:val="22"/>
              </w:rPr>
              <w:t>Cardiff University</w:t>
            </w:r>
          </w:p>
        </w:tc>
        <w:tc>
          <w:tcPr>
            <w:tcW w:w="1797" w:type="dxa"/>
            <w:tcBorders>
              <w:top w:val="dotted" w:sz="4" w:space="0" w:color="auto"/>
              <w:bottom w:val="dotted" w:sz="4" w:space="0" w:color="auto"/>
            </w:tcBorders>
            <w:vAlign w:val="center"/>
          </w:tcPr>
          <w:p w14:paraId="10A429B4" w14:textId="77777777" w:rsidR="007364F2" w:rsidRPr="003A69D0" w:rsidRDefault="007364F2" w:rsidP="00DB5AEE">
            <w:pPr>
              <w:jc w:val="right"/>
              <w:rPr>
                <w:sz w:val="22"/>
                <w:szCs w:val="22"/>
              </w:rPr>
            </w:pPr>
          </w:p>
        </w:tc>
      </w:tr>
      <w:tr w:rsidR="007364F2" w:rsidRPr="003A69D0" w14:paraId="7B8FBFE7"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38AFE7A5" w14:textId="77777777" w:rsidR="007364F2" w:rsidRPr="003A69D0" w:rsidRDefault="007364F2" w:rsidP="00DB5AEE">
            <w:pPr>
              <w:rPr>
                <w:rFonts w:cs="Arial"/>
                <w:color w:val="000000"/>
                <w:sz w:val="22"/>
                <w:szCs w:val="22"/>
              </w:rPr>
            </w:pPr>
            <w:r w:rsidRPr="003A69D0">
              <w:rPr>
                <w:rFonts w:cs="Arial"/>
                <w:color w:val="000000"/>
                <w:sz w:val="22"/>
                <w:szCs w:val="22"/>
              </w:rPr>
              <w:t xml:space="preserve">Professor David </w:t>
            </w:r>
            <w:proofErr w:type="spellStart"/>
            <w:r w:rsidRPr="003A69D0">
              <w:rPr>
                <w:rFonts w:cs="Arial"/>
                <w:color w:val="000000"/>
                <w:sz w:val="22"/>
                <w:szCs w:val="22"/>
              </w:rPr>
              <w:t>Raffe</w:t>
            </w:r>
            <w:proofErr w:type="spellEnd"/>
          </w:p>
        </w:tc>
        <w:tc>
          <w:tcPr>
            <w:tcW w:w="3872" w:type="dxa"/>
            <w:gridSpan w:val="2"/>
            <w:tcBorders>
              <w:top w:val="dotted" w:sz="4" w:space="0" w:color="auto"/>
              <w:bottom w:val="dotted" w:sz="4" w:space="0" w:color="auto"/>
            </w:tcBorders>
            <w:vAlign w:val="center"/>
          </w:tcPr>
          <w:p w14:paraId="4F567EC8" w14:textId="77777777" w:rsidR="007364F2" w:rsidRPr="003A69D0" w:rsidRDefault="007364F2" w:rsidP="00DB5AEE">
            <w:pPr>
              <w:rPr>
                <w:rFonts w:cs="Arial"/>
                <w:color w:val="000000"/>
                <w:sz w:val="22"/>
                <w:szCs w:val="22"/>
              </w:rPr>
            </w:pPr>
            <w:r w:rsidRPr="003A69D0">
              <w:rPr>
                <w:rFonts w:cs="Arial"/>
                <w:color w:val="000000"/>
                <w:sz w:val="22"/>
                <w:szCs w:val="22"/>
              </w:rPr>
              <w:t>University of Edinburgh</w:t>
            </w:r>
          </w:p>
        </w:tc>
        <w:tc>
          <w:tcPr>
            <w:tcW w:w="1797" w:type="dxa"/>
            <w:tcBorders>
              <w:top w:val="dotted" w:sz="4" w:space="0" w:color="auto"/>
              <w:bottom w:val="dotted" w:sz="4" w:space="0" w:color="auto"/>
            </w:tcBorders>
            <w:vAlign w:val="center"/>
          </w:tcPr>
          <w:p w14:paraId="444A9054" w14:textId="77777777" w:rsidR="007364F2" w:rsidRPr="003A69D0" w:rsidRDefault="007364F2" w:rsidP="00DB5AEE">
            <w:pPr>
              <w:jc w:val="right"/>
              <w:rPr>
                <w:sz w:val="22"/>
                <w:szCs w:val="22"/>
              </w:rPr>
            </w:pPr>
          </w:p>
        </w:tc>
      </w:tr>
      <w:tr w:rsidR="007364F2" w:rsidRPr="003A69D0" w14:paraId="702FE9C6"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54C1F581" w14:textId="77777777" w:rsidR="007364F2" w:rsidRPr="003A69D0" w:rsidRDefault="007364F2" w:rsidP="00DB5AEE">
            <w:pPr>
              <w:rPr>
                <w:rFonts w:cs="Arial"/>
                <w:color w:val="000000"/>
                <w:sz w:val="22"/>
                <w:szCs w:val="22"/>
              </w:rPr>
            </w:pPr>
            <w:r w:rsidRPr="003A69D0">
              <w:rPr>
                <w:rFonts w:cs="Arial"/>
                <w:color w:val="000000"/>
                <w:sz w:val="22"/>
                <w:szCs w:val="22"/>
              </w:rPr>
              <w:t xml:space="preserve">Professor Diane </w:t>
            </w:r>
            <w:proofErr w:type="spellStart"/>
            <w:r w:rsidRPr="003A69D0">
              <w:rPr>
                <w:rFonts w:cs="Arial"/>
                <w:color w:val="000000"/>
                <w:sz w:val="22"/>
                <w:szCs w:val="22"/>
              </w:rPr>
              <w:t>Reay</w:t>
            </w:r>
            <w:proofErr w:type="spellEnd"/>
          </w:p>
        </w:tc>
        <w:tc>
          <w:tcPr>
            <w:tcW w:w="3872" w:type="dxa"/>
            <w:gridSpan w:val="2"/>
            <w:tcBorders>
              <w:top w:val="dotted" w:sz="4" w:space="0" w:color="auto"/>
              <w:bottom w:val="dotted" w:sz="4" w:space="0" w:color="auto"/>
            </w:tcBorders>
            <w:vAlign w:val="center"/>
          </w:tcPr>
          <w:p w14:paraId="2FF447FB" w14:textId="77777777" w:rsidR="007364F2" w:rsidRPr="003A69D0" w:rsidRDefault="007364F2" w:rsidP="00DB5AEE">
            <w:pPr>
              <w:rPr>
                <w:rFonts w:cs="Arial"/>
                <w:color w:val="000000"/>
                <w:sz w:val="22"/>
                <w:szCs w:val="22"/>
              </w:rPr>
            </w:pPr>
            <w:r w:rsidRPr="003A69D0">
              <w:rPr>
                <w:rFonts w:cs="Arial"/>
                <w:color w:val="000000"/>
                <w:sz w:val="22"/>
                <w:szCs w:val="22"/>
              </w:rPr>
              <w:t>University of Cambridge</w:t>
            </w:r>
          </w:p>
        </w:tc>
        <w:tc>
          <w:tcPr>
            <w:tcW w:w="1797" w:type="dxa"/>
            <w:tcBorders>
              <w:top w:val="dotted" w:sz="4" w:space="0" w:color="auto"/>
              <w:bottom w:val="dotted" w:sz="4" w:space="0" w:color="auto"/>
            </w:tcBorders>
            <w:vAlign w:val="center"/>
          </w:tcPr>
          <w:p w14:paraId="497A3429" w14:textId="77777777" w:rsidR="007364F2" w:rsidRPr="003A69D0" w:rsidRDefault="007364F2" w:rsidP="00DB5AEE">
            <w:pPr>
              <w:jc w:val="right"/>
              <w:rPr>
                <w:sz w:val="22"/>
                <w:szCs w:val="22"/>
              </w:rPr>
            </w:pPr>
          </w:p>
        </w:tc>
      </w:tr>
      <w:tr w:rsidR="007364F2" w:rsidRPr="003A69D0" w14:paraId="403802BD"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79284BCF" w14:textId="77777777" w:rsidR="007364F2" w:rsidRPr="003A69D0" w:rsidRDefault="007364F2" w:rsidP="00DB5AEE">
            <w:pPr>
              <w:rPr>
                <w:rFonts w:cs="Arial"/>
                <w:color w:val="000000"/>
                <w:sz w:val="22"/>
                <w:szCs w:val="22"/>
              </w:rPr>
            </w:pPr>
            <w:r w:rsidRPr="003A69D0">
              <w:rPr>
                <w:rFonts w:cs="Arial"/>
                <w:color w:val="000000"/>
                <w:sz w:val="22"/>
                <w:szCs w:val="22"/>
              </w:rPr>
              <w:t>Professor Charlotte Rees</w:t>
            </w:r>
          </w:p>
        </w:tc>
        <w:tc>
          <w:tcPr>
            <w:tcW w:w="3872" w:type="dxa"/>
            <w:gridSpan w:val="2"/>
            <w:tcBorders>
              <w:top w:val="dotted" w:sz="4" w:space="0" w:color="auto"/>
              <w:bottom w:val="dotted" w:sz="4" w:space="0" w:color="auto"/>
            </w:tcBorders>
            <w:vAlign w:val="center"/>
          </w:tcPr>
          <w:p w14:paraId="19F14035" w14:textId="77777777" w:rsidR="007364F2" w:rsidRPr="003A69D0" w:rsidRDefault="007364F2" w:rsidP="00DB5AEE">
            <w:pPr>
              <w:rPr>
                <w:rFonts w:cs="Arial"/>
                <w:color w:val="000000"/>
                <w:sz w:val="22"/>
                <w:szCs w:val="22"/>
              </w:rPr>
            </w:pPr>
            <w:r w:rsidRPr="003A69D0">
              <w:rPr>
                <w:rFonts w:cs="Arial"/>
                <w:color w:val="000000"/>
                <w:sz w:val="22"/>
                <w:szCs w:val="22"/>
              </w:rPr>
              <w:t>University of Dundee</w:t>
            </w:r>
          </w:p>
        </w:tc>
        <w:tc>
          <w:tcPr>
            <w:tcW w:w="1797" w:type="dxa"/>
            <w:tcBorders>
              <w:top w:val="dotted" w:sz="4" w:space="0" w:color="auto"/>
              <w:bottom w:val="dotted" w:sz="4" w:space="0" w:color="auto"/>
            </w:tcBorders>
            <w:vAlign w:val="center"/>
          </w:tcPr>
          <w:p w14:paraId="5738FC68" w14:textId="77777777" w:rsidR="007364F2" w:rsidRPr="003A69D0" w:rsidRDefault="007364F2" w:rsidP="00DB5AEE">
            <w:pPr>
              <w:jc w:val="right"/>
              <w:rPr>
                <w:sz w:val="22"/>
                <w:szCs w:val="22"/>
              </w:rPr>
            </w:pPr>
          </w:p>
        </w:tc>
      </w:tr>
      <w:tr w:rsidR="007364F2" w:rsidRPr="003A69D0" w14:paraId="3555A090"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3FCDE826" w14:textId="77777777" w:rsidR="007364F2" w:rsidRPr="003A69D0" w:rsidRDefault="007364F2" w:rsidP="00DB5AEE">
            <w:pPr>
              <w:rPr>
                <w:rFonts w:cs="Arial"/>
                <w:color w:val="000000"/>
                <w:sz w:val="22"/>
                <w:szCs w:val="22"/>
              </w:rPr>
            </w:pPr>
            <w:r w:rsidRPr="003A69D0">
              <w:rPr>
                <w:rFonts w:cs="Arial"/>
                <w:color w:val="000000"/>
                <w:sz w:val="22"/>
                <w:szCs w:val="22"/>
              </w:rPr>
              <w:t>Professor Jane Seale</w:t>
            </w:r>
          </w:p>
        </w:tc>
        <w:tc>
          <w:tcPr>
            <w:tcW w:w="3872" w:type="dxa"/>
            <w:gridSpan w:val="2"/>
            <w:tcBorders>
              <w:top w:val="dotted" w:sz="4" w:space="0" w:color="auto"/>
              <w:bottom w:val="dotted" w:sz="4" w:space="0" w:color="auto"/>
            </w:tcBorders>
            <w:vAlign w:val="center"/>
          </w:tcPr>
          <w:p w14:paraId="594FCB53" w14:textId="77777777" w:rsidR="007364F2" w:rsidRPr="003A69D0" w:rsidRDefault="007364F2" w:rsidP="00DB5AEE">
            <w:pPr>
              <w:rPr>
                <w:rFonts w:cs="Arial"/>
                <w:color w:val="000000"/>
                <w:sz w:val="22"/>
                <w:szCs w:val="22"/>
              </w:rPr>
            </w:pPr>
            <w:r w:rsidRPr="003A69D0">
              <w:rPr>
                <w:rFonts w:cs="Arial"/>
                <w:color w:val="000000"/>
                <w:sz w:val="22"/>
                <w:szCs w:val="22"/>
              </w:rPr>
              <w:t>University of Exeter</w:t>
            </w:r>
          </w:p>
        </w:tc>
        <w:tc>
          <w:tcPr>
            <w:tcW w:w="1797" w:type="dxa"/>
            <w:tcBorders>
              <w:top w:val="dotted" w:sz="4" w:space="0" w:color="auto"/>
              <w:bottom w:val="dotted" w:sz="4" w:space="0" w:color="auto"/>
            </w:tcBorders>
            <w:vAlign w:val="center"/>
          </w:tcPr>
          <w:p w14:paraId="653820F7" w14:textId="77777777" w:rsidR="007364F2" w:rsidRPr="003A69D0" w:rsidRDefault="007364F2" w:rsidP="00DB5AEE">
            <w:pPr>
              <w:jc w:val="right"/>
              <w:rPr>
                <w:sz w:val="22"/>
                <w:szCs w:val="22"/>
              </w:rPr>
            </w:pPr>
            <w:r w:rsidRPr="003A69D0">
              <w:rPr>
                <w:sz w:val="22"/>
                <w:szCs w:val="22"/>
              </w:rPr>
              <w:t xml:space="preserve">Changed </w:t>
            </w:r>
            <w:proofErr w:type="spellStart"/>
            <w:r w:rsidRPr="003A69D0">
              <w:rPr>
                <w:sz w:val="22"/>
                <w:szCs w:val="22"/>
              </w:rPr>
              <w:t>Inst</w:t>
            </w:r>
            <w:proofErr w:type="spellEnd"/>
            <w:r w:rsidRPr="003A69D0">
              <w:rPr>
                <w:sz w:val="22"/>
                <w:szCs w:val="22"/>
              </w:rPr>
              <w:t xml:space="preserve"> Mar 2013</w:t>
            </w:r>
          </w:p>
        </w:tc>
      </w:tr>
      <w:tr w:rsidR="007364F2" w:rsidRPr="003A69D0" w14:paraId="534E7237"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30FD7F51" w14:textId="77777777" w:rsidR="007364F2" w:rsidRPr="003A69D0" w:rsidRDefault="007364F2" w:rsidP="00DB5AEE">
            <w:pPr>
              <w:rPr>
                <w:rFonts w:cs="Arial"/>
                <w:color w:val="000000"/>
                <w:sz w:val="22"/>
                <w:szCs w:val="22"/>
              </w:rPr>
            </w:pPr>
            <w:proofErr w:type="spellStart"/>
            <w:r w:rsidRPr="003A69D0">
              <w:rPr>
                <w:rFonts w:cs="Arial"/>
                <w:color w:val="000000"/>
                <w:sz w:val="22"/>
                <w:szCs w:val="22"/>
              </w:rPr>
              <w:t>Mr</w:t>
            </w:r>
            <w:proofErr w:type="spellEnd"/>
            <w:r w:rsidRPr="003A69D0">
              <w:rPr>
                <w:rFonts w:cs="Arial"/>
                <w:color w:val="000000"/>
                <w:sz w:val="22"/>
                <w:szCs w:val="22"/>
              </w:rPr>
              <w:t xml:space="preserve"> Richard Thurston</w:t>
            </w:r>
          </w:p>
        </w:tc>
        <w:tc>
          <w:tcPr>
            <w:tcW w:w="3872" w:type="dxa"/>
            <w:gridSpan w:val="2"/>
            <w:tcBorders>
              <w:top w:val="dotted" w:sz="4" w:space="0" w:color="auto"/>
              <w:bottom w:val="dotted" w:sz="4" w:space="0" w:color="auto"/>
            </w:tcBorders>
            <w:vAlign w:val="center"/>
          </w:tcPr>
          <w:p w14:paraId="080A1973" w14:textId="77777777" w:rsidR="007364F2" w:rsidRPr="003A69D0" w:rsidRDefault="007364F2" w:rsidP="00DB5AEE">
            <w:pPr>
              <w:rPr>
                <w:rFonts w:cs="Arial"/>
                <w:color w:val="000000"/>
                <w:sz w:val="22"/>
                <w:szCs w:val="22"/>
              </w:rPr>
            </w:pPr>
            <w:r w:rsidRPr="003A69D0">
              <w:rPr>
                <w:rFonts w:cs="Arial"/>
                <w:color w:val="000000"/>
                <w:sz w:val="22"/>
                <w:szCs w:val="22"/>
              </w:rPr>
              <w:t>The Welsh Government</w:t>
            </w:r>
          </w:p>
        </w:tc>
        <w:tc>
          <w:tcPr>
            <w:tcW w:w="1797" w:type="dxa"/>
            <w:tcBorders>
              <w:top w:val="dotted" w:sz="4" w:space="0" w:color="auto"/>
              <w:bottom w:val="dotted" w:sz="4" w:space="0" w:color="auto"/>
            </w:tcBorders>
            <w:vAlign w:val="center"/>
          </w:tcPr>
          <w:p w14:paraId="067F0E26" w14:textId="77777777" w:rsidR="007364F2" w:rsidRPr="003A69D0" w:rsidRDefault="007364F2" w:rsidP="00DB5AEE">
            <w:pPr>
              <w:jc w:val="right"/>
              <w:rPr>
                <w:sz w:val="22"/>
                <w:szCs w:val="22"/>
              </w:rPr>
            </w:pPr>
          </w:p>
        </w:tc>
      </w:tr>
      <w:tr w:rsidR="007364F2" w:rsidRPr="003A69D0" w14:paraId="61FB20E7"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03807A7B" w14:textId="77777777" w:rsidR="007364F2" w:rsidRPr="003A69D0" w:rsidRDefault="007364F2" w:rsidP="00DB5AEE">
            <w:pPr>
              <w:rPr>
                <w:rFonts w:cs="Arial"/>
                <w:color w:val="000000"/>
                <w:sz w:val="22"/>
                <w:szCs w:val="22"/>
              </w:rPr>
            </w:pPr>
            <w:r w:rsidRPr="003A69D0">
              <w:rPr>
                <w:rFonts w:cs="Arial"/>
                <w:color w:val="000000"/>
                <w:sz w:val="22"/>
                <w:szCs w:val="22"/>
              </w:rPr>
              <w:t>Professor Malcolm Tight</w:t>
            </w:r>
          </w:p>
        </w:tc>
        <w:tc>
          <w:tcPr>
            <w:tcW w:w="3872" w:type="dxa"/>
            <w:gridSpan w:val="2"/>
            <w:tcBorders>
              <w:top w:val="dotted" w:sz="4" w:space="0" w:color="auto"/>
              <w:bottom w:val="dotted" w:sz="4" w:space="0" w:color="auto"/>
            </w:tcBorders>
            <w:vAlign w:val="center"/>
          </w:tcPr>
          <w:p w14:paraId="72E773A2" w14:textId="77777777" w:rsidR="007364F2" w:rsidRPr="003A69D0" w:rsidRDefault="007364F2" w:rsidP="00DB5AEE">
            <w:pPr>
              <w:rPr>
                <w:rFonts w:cs="Arial"/>
                <w:color w:val="000000"/>
                <w:sz w:val="22"/>
                <w:szCs w:val="22"/>
              </w:rPr>
            </w:pPr>
            <w:r w:rsidRPr="003A69D0">
              <w:rPr>
                <w:rFonts w:cs="Arial"/>
                <w:color w:val="000000"/>
                <w:sz w:val="22"/>
                <w:szCs w:val="22"/>
              </w:rPr>
              <w:t>Lancaster University</w:t>
            </w:r>
          </w:p>
        </w:tc>
        <w:tc>
          <w:tcPr>
            <w:tcW w:w="1797" w:type="dxa"/>
            <w:tcBorders>
              <w:top w:val="dotted" w:sz="4" w:space="0" w:color="auto"/>
              <w:bottom w:val="dotted" w:sz="4" w:space="0" w:color="auto"/>
            </w:tcBorders>
            <w:vAlign w:val="center"/>
          </w:tcPr>
          <w:p w14:paraId="344BFB79" w14:textId="77777777" w:rsidR="007364F2" w:rsidRPr="003A69D0" w:rsidRDefault="007364F2" w:rsidP="00DB5AEE">
            <w:pPr>
              <w:jc w:val="right"/>
              <w:rPr>
                <w:sz w:val="22"/>
                <w:szCs w:val="22"/>
              </w:rPr>
            </w:pPr>
          </w:p>
        </w:tc>
      </w:tr>
      <w:tr w:rsidR="007364F2" w:rsidRPr="003A69D0" w14:paraId="212E2669" w14:textId="77777777" w:rsidTr="00DB5AEE">
        <w:trPr>
          <w:gridAfter w:val="1"/>
          <w:wAfter w:w="17" w:type="dxa"/>
          <w:trHeight w:val="420"/>
          <w:jc w:val="center"/>
        </w:trPr>
        <w:tc>
          <w:tcPr>
            <w:tcW w:w="3702" w:type="dxa"/>
            <w:tcBorders>
              <w:top w:val="dotted" w:sz="4" w:space="0" w:color="auto"/>
              <w:bottom w:val="single" w:sz="4" w:space="0" w:color="auto"/>
            </w:tcBorders>
            <w:vAlign w:val="center"/>
          </w:tcPr>
          <w:p w14:paraId="7A2A36D9" w14:textId="77777777" w:rsidR="007364F2" w:rsidRPr="003A69D0" w:rsidRDefault="007364F2" w:rsidP="00DB5AEE">
            <w:pPr>
              <w:rPr>
                <w:rFonts w:cs="Arial"/>
                <w:b/>
                <w:color w:val="000000"/>
                <w:sz w:val="22"/>
                <w:szCs w:val="22"/>
              </w:rPr>
            </w:pPr>
            <w:r w:rsidRPr="003A69D0">
              <w:rPr>
                <w:rFonts w:cs="Arial"/>
                <w:b/>
                <w:color w:val="000000"/>
                <w:sz w:val="22"/>
                <w:szCs w:val="22"/>
              </w:rPr>
              <w:t>Assessors</w:t>
            </w:r>
          </w:p>
        </w:tc>
        <w:tc>
          <w:tcPr>
            <w:tcW w:w="3872" w:type="dxa"/>
            <w:gridSpan w:val="2"/>
            <w:tcBorders>
              <w:top w:val="dotted" w:sz="4" w:space="0" w:color="auto"/>
              <w:bottom w:val="single" w:sz="4" w:space="0" w:color="auto"/>
            </w:tcBorders>
            <w:vAlign w:val="center"/>
          </w:tcPr>
          <w:p w14:paraId="4087297A" w14:textId="77777777" w:rsidR="007364F2" w:rsidRPr="003A69D0" w:rsidRDefault="007364F2" w:rsidP="00DB5AEE">
            <w:pPr>
              <w:rPr>
                <w:rFonts w:cs="Arial"/>
                <w:color w:val="000000"/>
                <w:sz w:val="22"/>
                <w:szCs w:val="22"/>
              </w:rPr>
            </w:pPr>
          </w:p>
        </w:tc>
        <w:tc>
          <w:tcPr>
            <w:tcW w:w="1797" w:type="dxa"/>
            <w:tcBorders>
              <w:top w:val="dotted" w:sz="4" w:space="0" w:color="auto"/>
              <w:bottom w:val="single" w:sz="4" w:space="0" w:color="auto"/>
            </w:tcBorders>
            <w:vAlign w:val="center"/>
          </w:tcPr>
          <w:p w14:paraId="1C4F16E6" w14:textId="77777777" w:rsidR="007364F2" w:rsidRPr="003A69D0" w:rsidRDefault="007364F2" w:rsidP="00DB5AEE">
            <w:pPr>
              <w:jc w:val="right"/>
              <w:rPr>
                <w:rFonts w:cs="Arial"/>
                <w:color w:val="000000"/>
                <w:sz w:val="22"/>
                <w:szCs w:val="22"/>
              </w:rPr>
            </w:pPr>
          </w:p>
        </w:tc>
      </w:tr>
      <w:tr w:rsidR="007364F2" w:rsidRPr="003A69D0" w14:paraId="4688AB51" w14:textId="77777777" w:rsidTr="00DB5AEE">
        <w:trPr>
          <w:gridAfter w:val="1"/>
          <w:wAfter w:w="17" w:type="dxa"/>
          <w:trHeight w:val="420"/>
          <w:jc w:val="center"/>
        </w:trPr>
        <w:tc>
          <w:tcPr>
            <w:tcW w:w="3702" w:type="dxa"/>
            <w:tcBorders>
              <w:top w:val="single" w:sz="4" w:space="0" w:color="auto"/>
              <w:bottom w:val="dotted" w:sz="4" w:space="0" w:color="auto"/>
            </w:tcBorders>
            <w:vAlign w:val="center"/>
          </w:tcPr>
          <w:p w14:paraId="02844E1C" w14:textId="77777777" w:rsidR="007364F2" w:rsidRPr="003A69D0" w:rsidRDefault="007364F2" w:rsidP="00DB5AEE">
            <w:pPr>
              <w:rPr>
                <w:rFonts w:cs="Arial"/>
                <w:color w:val="000000"/>
                <w:sz w:val="22"/>
                <w:szCs w:val="22"/>
              </w:rPr>
            </w:pPr>
            <w:r w:rsidRPr="003A69D0">
              <w:rPr>
                <w:rFonts w:cs="Arial"/>
                <w:color w:val="000000"/>
                <w:sz w:val="22"/>
                <w:szCs w:val="22"/>
              </w:rPr>
              <w:t xml:space="preserve">Professor Mike </w:t>
            </w:r>
            <w:proofErr w:type="spellStart"/>
            <w:r w:rsidRPr="003A69D0">
              <w:rPr>
                <w:rFonts w:cs="Arial"/>
                <w:color w:val="000000"/>
                <w:sz w:val="22"/>
                <w:szCs w:val="22"/>
              </w:rPr>
              <w:t>Baynham</w:t>
            </w:r>
            <w:proofErr w:type="spellEnd"/>
          </w:p>
        </w:tc>
        <w:tc>
          <w:tcPr>
            <w:tcW w:w="3872" w:type="dxa"/>
            <w:gridSpan w:val="2"/>
            <w:tcBorders>
              <w:top w:val="single" w:sz="4" w:space="0" w:color="auto"/>
              <w:bottom w:val="dotted" w:sz="4" w:space="0" w:color="auto"/>
            </w:tcBorders>
            <w:vAlign w:val="center"/>
          </w:tcPr>
          <w:p w14:paraId="28B531FC" w14:textId="77777777" w:rsidR="007364F2" w:rsidRPr="003A69D0" w:rsidRDefault="007364F2" w:rsidP="00DB5AEE">
            <w:pPr>
              <w:rPr>
                <w:rFonts w:cs="Arial"/>
                <w:color w:val="000000"/>
                <w:sz w:val="22"/>
                <w:szCs w:val="22"/>
              </w:rPr>
            </w:pPr>
            <w:r w:rsidRPr="003A69D0">
              <w:rPr>
                <w:rFonts w:cs="Arial"/>
                <w:color w:val="000000"/>
                <w:sz w:val="22"/>
                <w:szCs w:val="22"/>
              </w:rPr>
              <w:t>University of Leeds</w:t>
            </w:r>
          </w:p>
        </w:tc>
        <w:tc>
          <w:tcPr>
            <w:tcW w:w="1797" w:type="dxa"/>
            <w:tcBorders>
              <w:top w:val="single" w:sz="4" w:space="0" w:color="auto"/>
              <w:bottom w:val="dotted" w:sz="4" w:space="0" w:color="auto"/>
            </w:tcBorders>
            <w:vAlign w:val="center"/>
          </w:tcPr>
          <w:p w14:paraId="4A4B51A9" w14:textId="77777777" w:rsidR="007364F2" w:rsidRPr="003A69D0" w:rsidRDefault="007364F2" w:rsidP="00DB5AEE">
            <w:pPr>
              <w:jc w:val="right"/>
              <w:rPr>
                <w:rFonts w:cs="Arial"/>
                <w:color w:val="000000"/>
                <w:sz w:val="22"/>
                <w:szCs w:val="22"/>
              </w:rPr>
            </w:pPr>
            <w:r w:rsidRPr="003A69D0">
              <w:rPr>
                <w:rFonts w:cs="Arial"/>
                <w:color w:val="000000"/>
                <w:sz w:val="22"/>
                <w:szCs w:val="22"/>
              </w:rPr>
              <w:t>Joined Aug 2013 Joint with SP28</w:t>
            </w:r>
          </w:p>
        </w:tc>
      </w:tr>
      <w:tr w:rsidR="007364F2" w:rsidRPr="003A69D0" w14:paraId="18A82DD1"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042123FD" w14:textId="77777777" w:rsidR="007364F2" w:rsidRPr="003A69D0" w:rsidRDefault="007364F2" w:rsidP="00DB5AEE">
            <w:pPr>
              <w:rPr>
                <w:rFonts w:cs="Arial"/>
                <w:color w:val="000000"/>
                <w:sz w:val="22"/>
                <w:szCs w:val="22"/>
              </w:rPr>
            </w:pPr>
            <w:proofErr w:type="spellStart"/>
            <w:r w:rsidRPr="003A69D0">
              <w:rPr>
                <w:rFonts w:cs="Arial"/>
                <w:color w:val="000000"/>
                <w:sz w:val="22"/>
                <w:szCs w:val="22"/>
              </w:rPr>
              <w:t>Dr</w:t>
            </w:r>
            <w:proofErr w:type="spellEnd"/>
            <w:r w:rsidRPr="003A69D0">
              <w:rPr>
                <w:rFonts w:cs="Arial"/>
                <w:color w:val="000000"/>
                <w:sz w:val="22"/>
                <w:szCs w:val="22"/>
              </w:rPr>
              <w:t xml:space="preserve"> Alison Girdwood</w:t>
            </w:r>
          </w:p>
        </w:tc>
        <w:tc>
          <w:tcPr>
            <w:tcW w:w="3872" w:type="dxa"/>
            <w:gridSpan w:val="2"/>
            <w:tcBorders>
              <w:top w:val="dotted" w:sz="4" w:space="0" w:color="auto"/>
              <w:bottom w:val="dotted" w:sz="4" w:space="0" w:color="auto"/>
            </w:tcBorders>
            <w:vAlign w:val="center"/>
          </w:tcPr>
          <w:p w14:paraId="066E410F" w14:textId="77777777" w:rsidR="007364F2" w:rsidRPr="003A69D0" w:rsidRDefault="007364F2" w:rsidP="00DB5AEE">
            <w:pPr>
              <w:rPr>
                <w:rFonts w:cs="Arial"/>
                <w:color w:val="000000"/>
                <w:sz w:val="22"/>
                <w:szCs w:val="22"/>
              </w:rPr>
            </w:pPr>
            <w:r w:rsidRPr="003A69D0">
              <w:rPr>
                <w:rFonts w:cs="Arial"/>
                <w:color w:val="000000"/>
                <w:sz w:val="22"/>
                <w:szCs w:val="22"/>
              </w:rPr>
              <w:t>Department for International Development</w:t>
            </w:r>
          </w:p>
        </w:tc>
        <w:tc>
          <w:tcPr>
            <w:tcW w:w="1797" w:type="dxa"/>
            <w:tcBorders>
              <w:top w:val="dotted" w:sz="4" w:space="0" w:color="auto"/>
              <w:bottom w:val="dotted" w:sz="4" w:space="0" w:color="auto"/>
            </w:tcBorders>
            <w:vAlign w:val="center"/>
          </w:tcPr>
          <w:p w14:paraId="4EC28D01" w14:textId="77777777" w:rsidR="007364F2" w:rsidRPr="003A69D0" w:rsidRDefault="007364F2" w:rsidP="00DB5AEE">
            <w:pPr>
              <w:jc w:val="right"/>
              <w:rPr>
                <w:rFonts w:cs="Arial"/>
                <w:color w:val="000000"/>
                <w:sz w:val="22"/>
                <w:szCs w:val="22"/>
              </w:rPr>
            </w:pPr>
            <w:r w:rsidRPr="003A69D0">
              <w:rPr>
                <w:rFonts w:cs="Arial"/>
                <w:color w:val="000000"/>
                <w:sz w:val="22"/>
                <w:szCs w:val="22"/>
              </w:rPr>
              <w:t>Joined Aug 2013</w:t>
            </w:r>
          </w:p>
        </w:tc>
      </w:tr>
      <w:tr w:rsidR="007364F2" w:rsidRPr="003A69D0" w14:paraId="21AF0E11"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06F26539" w14:textId="77777777" w:rsidR="007364F2" w:rsidRPr="003A69D0" w:rsidRDefault="007364F2" w:rsidP="00DB5AEE">
            <w:pPr>
              <w:rPr>
                <w:rFonts w:cs="Arial"/>
                <w:color w:val="000000"/>
                <w:sz w:val="22"/>
                <w:szCs w:val="22"/>
              </w:rPr>
            </w:pPr>
            <w:r w:rsidRPr="003A69D0">
              <w:rPr>
                <w:rFonts w:cs="Arial"/>
                <w:color w:val="000000"/>
                <w:sz w:val="22"/>
                <w:szCs w:val="22"/>
              </w:rPr>
              <w:t>Professor Harvey Goldstein</w:t>
            </w:r>
          </w:p>
        </w:tc>
        <w:tc>
          <w:tcPr>
            <w:tcW w:w="3872" w:type="dxa"/>
            <w:gridSpan w:val="2"/>
            <w:tcBorders>
              <w:top w:val="dotted" w:sz="4" w:space="0" w:color="auto"/>
              <w:bottom w:val="dotted" w:sz="4" w:space="0" w:color="auto"/>
            </w:tcBorders>
            <w:vAlign w:val="center"/>
          </w:tcPr>
          <w:p w14:paraId="1C21FB53" w14:textId="77777777" w:rsidR="007364F2" w:rsidRPr="003A69D0" w:rsidRDefault="007364F2" w:rsidP="00DB5AEE">
            <w:pPr>
              <w:rPr>
                <w:rFonts w:cs="Arial"/>
                <w:color w:val="000000"/>
                <w:sz w:val="22"/>
                <w:szCs w:val="22"/>
              </w:rPr>
            </w:pPr>
            <w:r w:rsidRPr="003A69D0">
              <w:rPr>
                <w:rFonts w:cs="Arial"/>
                <w:color w:val="000000"/>
                <w:sz w:val="22"/>
                <w:szCs w:val="22"/>
              </w:rPr>
              <w:t>University of Bristol</w:t>
            </w:r>
          </w:p>
        </w:tc>
        <w:tc>
          <w:tcPr>
            <w:tcW w:w="1797" w:type="dxa"/>
            <w:tcBorders>
              <w:top w:val="dotted" w:sz="4" w:space="0" w:color="auto"/>
              <w:bottom w:val="dotted" w:sz="4" w:space="0" w:color="auto"/>
            </w:tcBorders>
            <w:vAlign w:val="center"/>
          </w:tcPr>
          <w:p w14:paraId="5EB35ACB" w14:textId="77777777" w:rsidR="007364F2" w:rsidRPr="003A69D0" w:rsidRDefault="007364F2" w:rsidP="00DB5AEE">
            <w:pPr>
              <w:jc w:val="right"/>
              <w:rPr>
                <w:rFonts w:cs="Arial"/>
                <w:color w:val="000000"/>
                <w:sz w:val="22"/>
                <w:szCs w:val="22"/>
              </w:rPr>
            </w:pPr>
            <w:r w:rsidRPr="003A69D0">
              <w:rPr>
                <w:rFonts w:cs="Arial"/>
                <w:color w:val="000000"/>
                <w:sz w:val="22"/>
                <w:szCs w:val="22"/>
              </w:rPr>
              <w:t>Joined Dec 2012</w:t>
            </w:r>
          </w:p>
        </w:tc>
      </w:tr>
      <w:tr w:rsidR="007364F2" w:rsidRPr="003A69D0" w14:paraId="18062CDC"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53BB605E" w14:textId="77777777" w:rsidR="007364F2" w:rsidRPr="003A69D0" w:rsidRDefault="007364F2" w:rsidP="00DB5AEE">
            <w:pPr>
              <w:rPr>
                <w:rFonts w:cs="Arial"/>
                <w:color w:val="000000"/>
                <w:sz w:val="22"/>
                <w:szCs w:val="22"/>
              </w:rPr>
            </w:pPr>
            <w:proofErr w:type="spellStart"/>
            <w:r w:rsidRPr="003A69D0">
              <w:rPr>
                <w:rFonts w:cs="Arial"/>
                <w:color w:val="000000"/>
                <w:sz w:val="22"/>
                <w:szCs w:val="22"/>
              </w:rPr>
              <w:t>Dr</w:t>
            </w:r>
            <w:proofErr w:type="spellEnd"/>
            <w:r w:rsidRPr="003A69D0">
              <w:rPr>
                <w:rFonts w:cs="Arial"/>
                <w:color w:val="000000"/>
                <w:sz w:val="22"/>
                <w:szCs w:val="22"/>
              </w:rPr>
              <w:t xml:space="preserve"> Richard Hickman</w:t>
            </w:r>
          </w:p>
        </w:tc>
        <w:tc>
          <w:tcPr>
            <w:tcW w:w="3872" w:type="dxa"/>
            <w:gridSpan w:val="2"/>
            <w:tcBorders>
              <w:top w:val="dotted" w:sz="4" w:space="0" w:color="auto"/>
              <w:bottom w:val="dotted" w:sz="4" w:space="0" w:color="auto"/>
            </w:tcBorders>
            <w:vAlign w:val="center"/>
          </w:tcPr>
          <w:p w14:paraId="566CC6D8" w14:textId="77777777" w:rsidR="007364F2" w:rsidRPr="003A69D0" w:rsidRDefault="007364F2" w:rsidP="00DB5AEE">
            <w:pPr>
              <w:rPr>
                <w:rFonts w:cs="Arial"/>
                <w:color w:val="000000"/>
                <w:sz w:val="22"/>
                <w:szCs w:val="22"/>
              </w:rPr>
            </w:pPr>
            <w:r w:rsidRPr="003A69D0">
              <w:rPr>
                <w:rFonts w:cs="Arial"/>
                <w:color w:val="000000"/>
                <w:sz w:val="22"/>
                <w:szCs w:val="22"/>
              </w:rPr>
              <w:t>University of Cambridge</w:t>
            </w:r>
          </w:p>
        </w:tc>
        <w:tc>
          <w:tcPr>
            <w:tcW w:w="1797" w:type="dxa"/>
            <w:tcBorders>
              <w:top w:val="dotted" w:sz="4" w:space="0" w:color="auto"/>
              <w:bottom w:val="dotted" w:sz="4" w:space="0" w:color="auto"/>
            </w:tcBorders>
            <w:vAlign w:val="center"/>
          </w:tcPr>
          <w:p w14:paraId="26153E5D" w14:textId="77777777" w:rsidR="007364F2" w:rsidRPr="003A69D0" w:rsidRDefault="007364F2" w:rsidP="00DB5AEE">
            <w:pPr>
              <w:jc w:val="right"/>
              <w:rPr>
                <w:rFonts w:cs="Arial"/>
                <w:color w:val="000000"/>
                <w:sz w:val="22"/>
                <w:szCs w:val="22"/>
              </w:rPr>
            </w:pPr>
            <w:r w:rsidRPr="003A69D0">
              <w:rPr>
                <w:rFonts w:cs="Arial"/>
                <w:color w:val="000000"/>
                <w:sz w:val="22"/>
                <w:szCs w:val="22"/>
              </w:rPr>
              <w:t>Joined Jun 2013</w:t>
            </w:r>
          </w:p>
        </w:tc>
      </w:tr>
      <w:tr w:rsidR="007364F2" w:rsidRPr="003A69D0" w14:paraId="07FE551D"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3FF3BACE" w14:textId="77777777" w:rsidR="007364F2" w:rsidRPr="003A69D0" w:rsidRDefault="007364F2" w:rsidP="00DB5AEE">
            <w:pPr>
              <w:rPr>
                <w:rFonts w:cs="Arial"/>
                <w:color w:val="000000"/>
                <w:sz w:val="22"/>
                <w:szCs w:val="22"/>
              </w:rPr>
            </w:pPr>
            <w:proofErr w:type="spellStart"/>
            <w:r w:rsidRPr="003A69D0">
              <w:rPr>
                <w:rFonts w:cs="Arial"/>
                <w:color w:val="000000"/>
                <w:sz w:val="22"/>
                <w:szCs w:val="22"/>
              </w:rPr>
              <w:t>Dr</w:t>
            </w:r>
            <w:proofErr w:type="spellEnd"/>
            <w:r w:rsidRPr="003A69D0">
              <w:rPr>
                <w:rFonts w:cs="Arial"/>
                <w:color w:val="000000"/>
                <w:sz w:val="22"/>
                <w:szCs w:val="22"/>
              </w:rPr>
              <w:t xml:space="preserve"> Mary </w:t>
            </w:r>
            <w:proofErr w:type="spellStart"/>
            <w:r w:rsidRPr="003A69D0">
              <w:rPr>
                <w:rFonts w:cs="Arial"/>
                <w:color w:val="000000"/>
                <w:sz w:val="22"/>
                <w:szCs w:val="22"/>
              </w:rPr>
              <w:t>Hickson</w:t>
            </w:r>
            <w:proofErr w:type="spellEnd"/>
          </w:p>
        </w:tc>
        <w:tc>
          <w:tcPr>
            <w:tcW w:w="3872" w:type="dxa"/>
            <w:gridSpan w:val="2"/>
            <w:tcBorders>
              <w:top w:val="dotted" w:sz="4" w:space="0" w:color="auto"/>
              <w:bottom w:val="dotted" w:sz="4" w:space="0" w:color="auto"/>
            </w:tcBorders>
            <w:vAlign w:val="center"/>
          </w:tcPr>
          <w:p w14:paraId="0452443C" w14:textId="77777777" w:rsidR="007364F2" w:rsidRPr="003A69D0" w:rsidRDefault="007364F2" w:rsidP="00DB5AEE">
            <w:pPr>
              <w:rPr>
                <w:rFonts w:cs="Arial"/>
                <w:color w:val="000000"/>
                <w:sz w:val="22"/>
                <w:szCs w:val="22"/>
              </w:rPr>
            </w:pPr>
            <w:r w:rsidRPr="003A69D0">
              <w:rPr>
                <w:rFonts w:cs="Arial"/>
                <w:color w:val="000000"/>
                <w:sz w:val="22"/>
                <w:szCs w:val="22"/>
              </w:rPr>
              <w:t>Imperial College Healthcare NHS Trust</w:t>
            </w:r>
          </w:p>
        </w:tc>
        <w:tc>
          <w:tcPr>
            <w:tcW w:w="1797" w:type="dxa"/>
            <w:tcBorders>
              <w:top w:val="dotted" w:sz="4" w:space="0" w:color="auto"/>
              <w:bottom w:val="dotted" w:sz="4" w:space="0" w:color="auto"/>
            </w:tcBorders>
            <w:vAlign w:val="center"/>
          </w:tcPr>
          <w:p w14:paraId="63106BA4" w14:textId="77777777" w:rsidR="007364F2" w:rsidRPr="003A69D0" w:rsidRDefault="007364F2" w:rsidP="00DB5AEE">
            <w:pPr>
              <w:jc w:val="right"/>
              <w:rPr>
                <w:rFonts w:cs="Arial"/>
                <w:color w:val="000000"/>
                <w:sz w:val="22"/>
                <w:szCs w:val="22"/>
              </w:rPr>
            </w:pPr>
            <w:r w:rsidRPr="003A69D0">
              <w:rPr>
                <w:rFonts w:cs="Arial"/>
                <w:color w:val="000000"/>
                <w:sz w:val="22"/>
                <w:szCs w:val="22"/>
              </w:rPr>
              <w:t>Joined Aug 2013 Joint with SP26</w:t>
            </w:r>
          </w:p>
        </w:tc>
      </w:tr>
      <w:tr w:rsidR="007364F2" w:rsidRPr="003A69D0" w14:paraId="437155DB"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4313E78B" w14:textId="77777777" w:rsidR="007364F2" w:rsidRPr="003A69D0" w:rsidRDefault="007364F2" w:rsidP="00DB5AEE">
            <w:pPr>
              <w:rPr>
                <w:rFonts w:cs="Arial"/>
                <w:color w:val="000000"/>
                <w:sz w:val="22"/>
                <w:szCs w:val="22"/>
              </w:rPr>
            </w:pPr>
            <w:proofErr w:type="spellStart"/>
            <w:r w:rsidRPr="003A69D0">
              <w:rPr>
                <w:rFonts w:cs="Arial"/>
                <w:color w:val="000000"/>
                <w:sz w:val="22"/>
                <w:szCs w:val="22"/>
              </w:rPr>
              <w:t>Ms</w:t>
            </w:r>
            <w:proofErr w:type="spellEnd"/>
            <w:r w:rsidRPr="003A69D0">
              <w:rPr>
                <w:rFonts w:cs="Arial"/>
                <w:color w:val="000000"/>
                <w:sz w:val="22"/>
                <w:szCs w:val="22"/>
              </w:rPr>
              <w:t xml:space="preserve"> Sheila Kearney</w:t>
            </w:r>
          </w:p>
        </w:tc>
        <w:tc>
          <w:tcPr>
            <w:tcW w:w="3872" w:type="dxa"/>
            <w:gridSpan w:val="2"/>
            <w:tcBorders>
              <w:top w:val="dotted" w:sz="4" w:space="0" w:color="auto"/>
              <w:bottom w:val="dotted" w:sz="4" w:space="0" w:color="auto"/>
            </w:tcBorders>
            <w:vAlign w:val="center"/>
          </w:tcPr>
          <w:p w14:paraId="6DA68733" w14:textId="77777777" w:rsidR="007364F2" w:rsidRPr="003A69D0" w:rsidRDefault="007364F2" w:rsidP="00DB5AEE">
            <w:pPr>
              <w:rPr>
                <w:rFonts w:cs="Arial"/>
                <w:color w:val="000000"/>
                <w:sz w:val="22"/>
                <w:szCs w:val="22"/>
              </w:rPr>
            </w:pPr>
            <w:r w:rsidRPr="003A69D0">
              <w:rPr>
                <w:sz w:val="22"/>
                <w:szCs w:val="22"/>
              </w:rPr>
              <w:t>Education and Training Foundation</w:t>
            </w:r>
          </w:p>
        </w:tc>
        <w:tc>
          <w:tcPr>
            <w:tcW w:w="1797" w:type="dxa"/>
            <w:tcBorders>
              <w:top w:val="dotted" w:sz="4" w:space="0" w:color="auto"/>
              <w:bottom w:val="dotted" w:sz="4" w:space="0" w:color="auto"/>
            </w:tcBorders>
            <w:vAlign w:val="center"/>
          </w:tcPr>
          <w:p w14:paraId="289DA936" w14:textId="77777777" w:rsidR="007364F2" w:rsidRPr="003A69D0" w:rsidRDefault="007364F2" w:rsidP="00DB5AEE">
            <w:pPr>
              <w:jc w:val="right"/>
              <w:rPr>
                <w:rFonts w:cs="Arial"/>
                <w:color w:val="000000"/>
                <w:sz w:val="22"/>
                <w:szCs w:val="22"/>
              </w:rPr>
            </w:pPr>
            <w:r w:rsidRPr="003A69D0">
              <w:rPr>
                <w:rFonts w:cs="Arial"/>
                <w:color w:val="000000"/>
                <w:sz w:val="22"/>
                <w:szCs w:val="22"/>
              </w:rPr>
              <w:t>Joined Jul 2013</w:t>
            </w:r>
            <w:r w:rsidRPr="003A69D0">
              <w:rPr>
                <w:rFonts w:cs="Arial"/>
                <w:color w:val="000000"/>
                <w:sz w:val="22"/>
                <w:szCs w:val="22"/>
              </w:rPr>
              <w:br/>
              <w:t>Changed Org Sep 2013</w:t>
            </w:r>
          </w:p>
        </w:tc>
      </w:tr>
      <w:tr w:rsidR="007364F2" w:rsidRPr="003A69D0" w14:paraId="15C11C24"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6DF79935" w14:textId="77777777" w:rsidR="007364F2" w:rsidRPr="003A69D0" w:rsidRDefault="007364F2" w:rsidP="00DB5AEE">
            <w:pPr>
              <w:rPr>
                <w:rFonts w:cs="Arial"/>
                <w:color w:val="000000"/>
                <w:sz w:val="22"/>
                <w:szCs w:val="22"/>
              </w:rPr>
            </w:pPr>
            <w:proofErr w:type="spellStart"/>
            <w:r w:rsidRPr="003A69D0">
              <w:rPr>
                <w:rFonts w:cs="Arial"/>
                <w:color w:val="000000"/>
                <w:sz w:val="22"/>
                <w:szCs w:val="22"/>
              </w:rPr>
              <w:t>Mr</w:t>
            </w:r>
            <w:proofErr w:type="spellEnd"/>
            <w:r w:rsidRPr="003A69D0">
              <w:rPr>
                <w:rFonts w:cs="Arial"/>
                <w:color w:val="000000"/>
                <w:sz w:val="22"/>
                <w:szCs w:val="22"/>
              </w:rPr>
              <w:t xml:space="preserve"> Antony </w:t>
            </w:r>
            <w:proofErr w:type="spellStart"/>
            <w:r w:rsidRPr="003A69D0">
              <w:rPr>
                <w:rFonts w:cs="Arial"/>
                <w:color w:val="000000"/>
                <w:sz w:val="22"/>
                <w:szCs w:val="22"/>
              </w:rPr>
              <w:t>Luby</w:t>
            </w:r>
            <w:proofErr w:type="spellEnd"/>
          </w:p>
        </w:tc>
        <w:tc>
          <w:tcPr>
            <w:tcW w:w="3872" w:type="dxa"/>
            <w:gridSpan w:val="2"/>
            <w:tcBorders>
              <w:top w:val="dotted" w:sz="4" w:space="0" w:color="auto"/>
              <w:bottom w:val="dotted" w:sz="4" w:space="0" w:color="auto"/>
            </w:tcBorders>
            <w:vAlign w:val="center"/>
          </w:tcPr>
          <w:p w14:paraId="4EBD809C" w14:textId="77777777" w:rsidR="007364F2" w:rsidRPr="003A69D0" w:rsidRDefault="007364F2" w:rsidP="00DB5AEE">
            <w:pPr>
              <w:rPr>
                <w:rFonts w:cs="Arial"/>
                <w:color w:val="000000"/>
                <w:sz w:val="22"/>
                <w:szCs w:val="22"/>
              </w:rPr>
            </w:pPr>
            <w:r w:rsidRPr="003A69D0">
              <w:rPr>
                <w:rFonts w:cs="Arial"/>
                <w:color w:val="000000"/>
                <w:sz w:val="22"/>
                <w:szCs w:val="22"/>
              </w:rPr>
              <w:t>Association Chartered Teachers Scotland</w:t>
            </w:r>
          </w:p>
        </w:tc>
        <w:tc>
          <w:tcPr>
            <w:tcW w:w="1797" w:type="dxa"/>
            <w:tcBorders>
              <w:top w:val="dotted" w:sz="4" w:space="0" w:color="auto"/>
              <w:bottom w:val="dotted" w:sz="4" w:space="0" w:color="auto"/>
            </w:tcBorders>
            <w:vAlign w:val="center"/>
          </w:tcPr>
          <w:p w14:paraId="56FBD256" w14:textId="77777777" w:rsidR="007364F2" w:rsidRPr="003A69D0" w:rsidRDefault="007364F2" w:rsidP="00DB5AEE">
            <w:pPr>
              <w:jc w:val="right"/>
              <w:rPr>
                <w:rFonts w:cs="Arial"/>
                <w:color w:val="000000"/>
                <w:sz w:val="22"/>
                <w:szCs w:val="22"/>
              </w:rPr>
            </w:pPr>
            <w:r w:rsidRPr="003A69D0">
              <w:rPr>
                <w:rFonts w:cs="Arial"/>
                <w:color w:val="000000"/>
                <w:sz w:val="22"/>
                <w:szCs w:val="22"/>
              </w:rPr>
              <w:t>Joined Jun 2013</w:t>
            </w:r>
          </w:p>
        </w:tc>
      </w:tr>
      <w:tr w:rsidR="007364F2" w:rsidRPr="003A69D0" w14:paraId="3870F088"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2C613DF6" w14:textId="77777777" w:rsidR="007364F2" w:rsidRPr="003A69D0" w:rsidRDefault="007364F2" w:rsidP="00DB5AEE">
            <w:pPr>
              <w:rPr>
                <w:rFonts w:cs="Arial"/>
                <w:color w:val="000000"/>
                <w:sz w:val="22"/>
                <w:szCs w:val="22"/>
              </w:rPr>
            </w:pPr>
            <w:r w:rsidRPr="003A69D0">
              <w:rPr>
                <w:rFonts w:cs="Arial"/>
                <w:color w:val="000000"/>
                <w:sz w:val="22"/>
                <w:szCs w:val="22"/>
              </w:rPr>
              <w:t>Professor Jane Martin</w:t>
            </w:r>
          </w:p>
        </w:tc>
        <w:tc>
          <w:tcPr>
            <w:tcW w:w="3872" w:type="dxa"/>
            <w:gridSpan w:val="2"/>
            <w:tcBorders>
              <w:top w:val="dotted" w:sz="4" w:space="0" w:color="auto"/>
              <w:bottom w:val="dotted" w:sz="4" w:space="0" w:color="auto"/>
            </w:tcBorders>
            <w:vAlign w:val="center"/>
          </w:tcPr>
          <w:p w14:paraId="2992D8A4" w14:textId="77777777" w:rsidR="007364F2" w:rsidRPr="003A69D0" w:rsidRDefault="007364F2" w:rsidP="00DB5AEE">
            <w:pPr>
              <w:rPr>
                <w:rFonts w:cs="Arial"/>
                <w:color w:val="000000"/>
                <w:sz w:val="22"/>
                <w:szCs w:val="22"/>
              </w:rPr>
            </w:pPr>
            <w:r w:rsidRPr="003A69D0">
              <w:rPr>
                <w:rFonts w:cs="Arial"/>
                <w:color w:val="000000"/>
                <w:sz w:val="22"/>
                <w:szCs w:val="22"/>
              </w:rPr>
              <w:t>University of Birmingham</w:t>
            </w:r>
          </w:p>
        </w:tc>
        <w:tc>
          <w:tcPr>
            <w:tcW w:w="1797" w:type="dxa"/>
            <w:tcBorders>
              <w:top w:val="dotted" w:sz="4" w:space="0" w:color="auto"/>
              <w:bottom w:val="dotted" w:sz="4" w:space="0" w:color="auto"/>
            </w:tcBorders>
            <w:vAlign w:val="center"/>
          </w:tcPr>
          <w:p w14:paraId="018DCFFE" w14:textId="77777777" w:rsidR="007364F2" w:rsidRPr="003A69D0" w:rsidRDefault="007364F2" w:rsidP="00DB5AEE">
            <w:pPr>
              <w:jc w:val="right"/>
              <w:rPr>
                <w:rFonts w:cs="Arial"/>
                <w:color w:val="000000"/>
                <w:sz w:val="22"/>
                <w:szCs w:val="22"/>
              </w:rPr>
            </w:pPr>
            <w:r w:rsidRPr="003A69D0">
              <w:rPr>
                <w:rFonts w:cs="Arial"/>
                <w:color w:val="000000"/>
                <w:sz w:val="22"/>
                <w:szCs w:val="22"/>
              </w:rPr>
              <w:t>Joined Oct 2012</w:t>
            </w:r>
          </w:p>
        </w:tc>
      </w:tr>
      <w:tr w:rsidR="007364F2" w:rsidRPr="003A69D0" w14:paraId="21C47718"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5FC86028" w14:textId="77777777" w:rsidR="007364F2" w:rsidRPr="003A69D0" w:rsidRDefault="007364F2" w:rsidP="00DB5AEE">
            <w:pPr>
              <w:rPr>
                <w:rFonts w:cs="Arial"/>
                <w:color w:val="000000"/>
                <w:sz w:val="22"/>
                <w:szCs w:val="22"/>
              </w:rPr>
            </w:pPr>
            <w:r w:rsidRPr="003A69D0">
              <w:rPr>
                <w:rFonts w:cs="Arial"/>
                <w:color w:val="000000"/>
                <w:sz w:val="22"/>
                <w:szCs w:val="22"/>
              </w:rPr>
              <w:t xml:space="preserve">Professor Judy </w:t>
            </w:r>
            <w:proofErr w:type="spellStart"/>
            <w:r w:rsidRPr="003A69D0">
              <w:rPr>
                <w:rFonts w:cs="Arial"/>
                <w:color w:val="000000"/>
                <w:sz w:val="22"/>
                <w:szCs w:val="22"/>
              </w:rPr>
              <w:t>Sebba</w:t>
            </w:r>
            <w:proofErr w:type="spellEnd"/>
          </w:p>
        </w:tc>
        <w:tc>
          <w:tcPr>
            <w:tcW w:w="3872" w:type="dxa"/>
            <w:gridSpan w:val="2"/>
            <w:tcBorders>
              <w:top w:val="dotted" w:sz="4" w:space="0" w:color="auto"/>
              <w:bottom w:val="dotted" w:sz="4" w:space="0" w:color="auto"/>
            </w:tcBorders>
            <w:vAlign w:val="center"/>
          </w:tcPr>
          <w:p w14:paraId="251DC02A" w14:textId="77777777" w:rsidR="007364F2" w:rsidRPr="003A69D0" w:rsidRDefault="007364F2" w:rsidP="00DB5AEE">
            <w:pPr>
              <w:rPr>
                <w:rFonts w:cs="Arial"/>
                <w:color w:val="000000"/>
                <w:sz w:val="22"/>
                <w:szCs w:val="22"/>
              </w:rPr>
            </w:pPr>
            <w:r w:rsidRPr="003A69D0">
              <w:rPr>
                <w:rFonts w:cs="Arial"/>
                <w:sz w:val="22"/>
                <w:szCs w:val="22"/>
              </w:rPr>
              <w:t>University of Oxford</w:t>
            </w:r>
          </w:p>
        </w:tc>
        <w:tc>
          <w:tcPr>
            <w:tcW w:w="1797" w:type="dxa"/>
            <w:tcBorders>
              <w:top w:val="dotted" w:sz="4" w:space="0" w:color="auto"/>
              <w:bottom w:val="dotted" w:sz="4" w:space="0" w:color="auto"/>
            </w:tcBorders>
            <w:vAlign w:val="center"/>
          </w:tcPr>
          <w:p w14:paraId="0161D8BD" w14:textId="77777777" w:rsidR="007364F2" w:rsidRPr="003A69D0" w:rsidRDefault="007364F2" w:rsidP="00DB5AEE">
            <w:pPr>
              <w:jc w:val="right"/>
              <w:rPr>
                <w:sz w:val="22"/>
                <w:szCs w:val="22"/>
              </w:rPr>
            </w:pPr>
          </w:p>
        </w:tc>
      </w:tr>
      <w:tr w:rsidR="007364F2" w:rsidRPr="003A69D0" w14:paraId="0E88C7C5"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0919A28C" w14:textId="77777777" w:rsidR="007364F2" w:rsidRPr="003A69D0" w:rsidRDefault="007364F2" w:rsidP="00DB5AEE">
            <w:pPr>
              <w:rPr>
                <w:rFonts w:cs="Arial"/>
                <w:color w:val="000000"/>
                <w:sz w:val="22"/>
                <w:szCs w:val="22"/>
              </w:rPr>
            </w:pPr>
            <w:proofErr w:type="spellStart"/>
            <w:r w:rsidRPr="003A69D0">
              <w:rPr>
                <w:rFonts w:cs="Arial"/>
                <w:color w:val="000000"/>
                <w:sz w:val="22"/>
                <w:szCs w:val="22"/>
              </w:rPr>
              <w:t>Ms</w:t>
            </w:r>
            <w:proofErr w:type="spellEnd"/>
            <w:r w:rsidRPr="003A69D0">
              <w:rPr>
                <w:rFonts w:cs="Arial"/>
                <w:color w:val="000000"/>
                <w:sz w:val="22"/>
                <w:szCs w:val="22"/>
              </w:rPr>
              <w:t xml:space="preserve"> Teresa Smart</w:t>
            </w:r>
          </w:p>
        </w:tc>
        <w:tc>
          <w:tcPr>
            <w:tcW w:w="3872" w:type="dxa"/>
            <w:gridSpan w:val="2"/>
            <w:tcBorders>
              <w:top w:val="dotted" w:sz="4" w:space="0" w:color="auto"/>
              <w:bottom w:val="dotted" w:sz="4" w:space="0" w:color="auto"/>
            </w:tcBorders>
            <w:vAlign w:val="center"/>
          </w:tcPr>
          <w:p w14:paraId="377D9722" w14:textId="77777777" w:rsidR="007364F2" w:rsidRPr="003A69D0" w:rsidRDefault="007364F2" w:rsidP="00DB5AEE">
            <w:pPr>
              <w:rPr>
                <w:rFonts w:cs="Arial"/>
                <w:color w:val="000000"/>
                <w:sz w:val="22"/>
                <w:szCs w:val="22"/>
              </w:rPr>
            </w:pPr>
            <w:r w:rsidRPr="003A69D0">
              <w:rPr>
                <w:rFonts w:cs="Arial"/>
                <w:color w:val="000000"/>
                <w:sz w:val="22"/>
                <w:szCs w:val="22"/>
              </w:rPr>
              <w:t>Institute of Education, University of London</w:t>
            </w:r>
          </w:p>
        </w:tc>
        <w:tc>
          <w:tcPr>
            <w:tcW w:w="1797" w:type="dxa"/>
            <w:tcBorders>
              <w:top w:val="dotted" w:sz="4" w:space="0" w:color="auto"/>
              <w:bottom w:val="dotted" w:sz="4" w:space="0" w:color="auto"/>
            </w:tcBorders>
            <w:vAlign w:val="center"/>
          </w:tcPr>
          <w:p w14:paraId="681BD35F" w14:textId="77777777" w:rsidR="007364F2" w:rsidRPr="003A69D0" w:rsidRDefault="007364F2" w:rsidP="00DB5AEE">
            <w:pPr>
              <w:jc w:val="right"/>
              <w:rPr>
                <w:rFonts w:cs="Arial"/>
                <w:color w:val="000000"/>
                <w:sz w:val="22"/>
                <w:szCs w:val="22"/>
              </w:rPr>
            </w:pPr>
            <w:r w:rsidRPr="003A69D0">
              <w:rPr>
                <w:rFonts w:cs="Arial"/>
                <w:color w:val="000000"/>
                <w:sz w:val="22"/>
                <w:szCs w:val="22"/>
              </w:rPr>
              <w:t>Joined Jun 2013</w:t>
            </w:r>
          </w:p>
        </w:tc>
      </w:tr>
      <w:tr w:rsidR="007364F2" w:rsidRPr="003A69D0" w14:paraId="63BB0B77"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30648564" w14:textId="77777777" w:rsidR="007364F2" w:rsidRPr="003A69D0" w:rsidRDefault="007364F2" w:rsidP="00DB5AEE">
            <w:pPr>
              <w:rPr>
                <w:rFonts w:cs="Arial"/>
                <w:color w:val="000000"/>
                <w:sz w:val="22"/>
                <w:szCs w:val="22"/>
              </w:rPr>
            </w:pPr>
            <w:r w:rsidRPr="003A69D0">
              <w:rPr>
                <w:rFonts w:cs="Arial"/>
                <w:color w:val="000000"/>
                <w:sz w:val="22"/>
                <w:szCs w:val="22"/>
              </w:rPr>
              <w:t>Professor Richard Smith</w:t>
            </w:r>
          </w:p>
        </w:tc>
        <w:tc>
          <w:tcPr>
            <w:tcW w:w="3872" w:type="dxa"/>
            <w:gridSpan w:val="2"/>
            <w:tcBorders>
              <w:top w:val="dotted" w:sz="4" w:space="0" w:color="auto"/>
              <w:bottom w:val="dotted" w:sz="4" w:space="0" w:color="auto"/>
            </w:tcBorders>
            <w:vAlign w:val="center"/>
          </w:tcPr>
          <w:p w14:paraId="1B5E2958" w14:textId="77777777" w:rsidR="007364F2" w:rsidRPr="003A69D0" w:rsidRDefault="007364F2" w:rsidP="00DB5AEE">
            <w:pPr>
              <w:rPr>
                <w:rFonts w:cs="Arial"/>
                <w:color w:val="000000"/>
                <w:sz w:val="22"/>
                <w:szCs w:val="22"/>
              </w:rPr>
            </w:pPr>
            <w:r w:rsidRPr="003A69D0">
              <w:rPr>
                <w:rFonts w:cs="Arial"/>
                <w:color w:val="000000"/>
                <w:sz w:val="22"/>
                <w:szCs w:val="22"/>
              </w:rPr>
              <w:t>Durham University</w:t>
            </w:r>
          </w:p>
        </w:tc>
        <w:tc>
          <w:tcPr>
            <w:tcW w:w="1797" w:type="dxa"/>
            <w:tcBorders>
              <w:top w:val="dotted" w:sz="4" w:space="0" w:color="auto"/>
              <w:bottom w:val="dotted" w:sz="4" w:space="0" w:color="auto"/>
            </w:tcBorders>
            <w:vAlign w:val="center"/>
          </w:tcPr>
          <w:p w14:paraId="0664CA8C" w14:textId="77777777" w:rsidR="007364F2" w:rsidRPr="003A69D0" w:rsidRDefault="007364F2" w:rsidP="00DB5AEE">
            <w:pPr>
              <w:jc w:val="right"/>
              <w:rPr>
                <w:rFonts w:cs="Arial"/>
                <w:color w:val="000000"/>
                <w:sz w:val="22"/>
                <w:szCs w:val="22"/>
              </w:rPr>
            </w:pPr>
            <w:r w:rsidRPr="003A69D0">
              <w:rPr>
                <w:rFonts w:cs="Arial"/>
                <w:color w:val="000000"/>
                <w:sz w:val="22"/>
                <w:szCs w:val="22"/>
              </w:rPr>
              <w:t>Joined Jun 2013</w:t>
            </w:r>
          </w:p>
        </w:tc>
      </w:tr>
      <w:tr w:rsidR="007364F2" w:rsidRPr="003A69D0" w14:paraId="66888FEC"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19B3AD53" w14:textId="77777777" w:rsidR="007364F2" w:rsidRPr="003A69D0" w:rsidRDefault="007364F2" w:rsidP="00DB5AEE">
            <w:pPr>
              <w:rPr>
                <w:rFonts w:cs="Arial"/>
                <w:color w:val="000000"/>
                <w:sz w:val="22"/>
                <w:szCs w:val="22"/>
              </w:rPr>
            </w:pPr>
            <w:proofErr w:type="spellStart"/>
            <w:r w:rsidRPr="003A69D0">
              <w:rPr>
                <w:rFonts w:cs="Arial"/>
                <w:color w:val="000000"/>
                <w:sz w:val="22"/>
                <w:szCs w:val="22"/>
              </w:rPr>
              <w:t>Mr</w:t>
            </w:r>
            <w:proofErr w:type="spellEnd"/>
            <w:r w:rsidRPr="003A69D0">
              <w:rPr>
                <w:rFonts w:cs="Arial"/>
                <w:color w:val="000000"/>
                <w:sz w:val="22"/>
                <w:szCs w:val="22"/>
              </w:rPr>
              <w:t xml:space="preserve"> Chris Taylor</w:t>
            </w:r>
          </w:p>
        </w:tc>
        <w:tc>
          <w:tcPr>
            <w:tcW w:w="3872" w:type="dxa"/>
            <w:gridSpan w:val="2"/>
            <w:tcBorders>
              <w:top w:val="dotted" w:sz="4" w:space="0" w:color="auto"/>
              <w:bottom w:val="dotted" w:sz="4" w:space="0" w:color="auto"/>
            </w:tcBorders>
            <w:vAlign w:val="center"/>
          </w:tcPr>
          <w:p w14:paraId="1D0CFB82" w14:textId="77777777" w:rsidR="007364F2" w:rsidRPr="003A69D0" w:rsidRDefault="007364F2" w:rsidP="00DB5AEE">
            <w:pPr>
              <w:rPr>
                <w:rFonts w:cs="Arial"/>
                <w:sz w:val="22"/>
                <w:szCs w:val="22"/>
              </w:rPr>
            </w:pPr>
            <w:r w:rsidRPr="003A69D0">
              <w:rPr>
                <w:rFonts w:cs="Arial"/>
                <w:sz w:val="22"/>
                <w:szCs w:val="22"/>
                <w:lang w:val="en"/>
              </w:rPr>
              <w:t>Quality Assurance Agency</w:t>
            </w:r>
          </w:p>
        </w:tc>
        <w:tc>
          <w:tcPr>
            <w:tcW w:w="1797" w:type="dxa"/>
            <w:tcBorders>
              <w:top w:val="dotted" w:sz="4" w:space="0" w:color="auto"/>
              <w:bottom w:val="dotted" w:sz="4" w:space="0" w:color="auto"/>
            </w:tcBorders>
            <w:vAlign w:val="center"/>
          </w:tcPr>
          <w:p w14:paraId="1619601A" w14:textId="77777777" w:rsidR="007364F2" w:rsidRPr="003A69D0" w:rsidRDefault="007364F2" w:rsidP="00DB5AEE">
            <w:pPr>
              <w:jc w:val="right"/>
              <w:rPr>
                <w:rFonts w:cs="Arial"/>
                <w:color w:val="000000"/>
                <w:sz w:val="22"/>
                <w:szCs w:val="22"/>
              </w:rPr>
            </w:pPr>
            <w:r w:rsidRPr="003A69D0">
              <w:rPr>
                <w:rFonts w:cs="Arial"/>
                <w:color w:val="000000"/>
                <w:sz w:val="22"/>
                <w:szCs w:val="22"/>
              </w:rPr>
              <w:t>Joined Jun 2013</w:t>
            </w:r>
          </w:p>
        </w:tc>
      </w:tr>
      <w:tr w:rsidR="007364F2" w:rsidRPr="003A69D0" w14:paraId="64C841A6" w14:textId="77777777" w:rsidTr="00DB5AEE">
        <w:trPr>
          <w:gridAfter w:val="1"/>
          <w:wAfter w:w="17" w:type="dxa"/>
          <w:trHeight w:val="420"/>
          <w:jc w:val="center"/>
        </w:trPr>
        <w:tc>
          <w:tcPr>
            <w:tcW w:w="3702" w:type="dxa"/>
            <w:tcBorders>
              <w:top w:val="dotted" w:sz="4" w:space="0" w:color="auto"/>
              <w:bottom w:val="dotted" w:sz="4" w:space="0" w:color="auto"/>
            </w:tcBorders>
            <w:vAlign w:val="center"/>
          </w:tcPr>
          <w:p w14:paraId="20063FB5" w14:textId="77777777" w:rsidR="007364F2" w:rsidRPr="003A69D0" w:rsidRDefault="007364F2" w:rsidP="00DB5AEE">
            <w:pPr>
              <w:rPr>
                <w:rFonts w:cs="Arial"/>
                <w:color w:val="000000"/>
                <w:sz w:val="22"/>
                <w:szCs w:val="22"/>
              </w:rPr>
            </w:pPr>
            <w:r w:rsidRPr="003A69D0">
              <w:rPr>
                <w:rFonts w:cs="Arial"/>
                <w:color w:val="000000"/>
                <w:sz w:val="22"/>
                <w:szCs w:val="22"/>
              </w:rPr>
              <w:t>Professor Li Wei</w:t>
            </w:r>
          </w:p>
        </w:tc>
        <w:tc>
          <w:tcPr>
            <w:tcW w:w="3872" w:type="dxa"/>
            <w:gridSpan w:val="2"/>
            <w:tcBorders>
              <w:top w:val="dotted" w:sz="4" w:space="0" w:color="auto"/>
              <w:bottom w:val="dotted" w:sz="4" w:space="0" w:color="auto"/>
            </w:tcBorders>
            <w:vAlign w:val="center"/>
          </w:tcPr>
          <w:p w14:paraId="2AC6B69B" w14:textId="77777777" w:rsidR="007364F2" w:rsidRPr="003A69D0" w:rsidRDefault="007364F2" w:rsidP="00DB5AEE">
            <w:pPr>
              <w:rPr>
                <w:rFonts w:cs="Arial"/>
                <w:color w:val="000000"/>
                <w:sz w:val="22"/>
                <w:szCs w:val="22"/>
              </w:rPr>
            </w:pPr>
            <w:proofErr w:type="spellStart"/>
            <w:r w:rsidRPr="003A69D0">
              <w:rPr>
                <w:rFonts w:cs="Arial"/>
                <w:color w:val="000000"/>
                <w:sz w:val="22"/>
                <w:szCs w:val="22"/>
              </w:rPr>
              <w:t>Birkbeck</w:t>
            </w:r>
            <w:proofErr w:type="spellEnd"/>
            <w:r w:rsidRPr="003A69D0">
              <w:rPr>
                <w:rFonts w:cs="Arial"/>
                <w:color w:val="000000"/>
                <w:sz w:val="22"/>
                <w:szCs w:val="22"/>
              </w:rPr>
              <w:t xml:space="preserve"> College, University of London</w:t>
            </w:r>
          </w:p>
        </w:tc>
        <w:tc>
          <w:tcPr>
            <w:tcW w:w="1797" w:type="dxa"/>
            <w:tcBorders>
              <w:top w:val="dotted" w:sz="4" w:space="0" w:color="auto"/>
              <w:bottom w:val="dotted" w:sz="4" w:space="0" w:color="auto"/>
            </w:tcBorders>
            <w:vAlign w:val="center"/>
          </w:tcPr>
          <w:p w14:paraId="24582676" w14:textId="77777777" w:rsidR="007364F2" w:rsidRPr="003A69D0" w:rsidRDefault="007364F2" w:rsidP="00DB5AEE">
            <w:pPr>
              <w:jc w:val="right"/>
              <w:rPr>
                <w:rFonts w:cs="Arial"/>
                <w:color w:val="000000"/>
                <w:sz w:val="22"/>
                <w:szCs w:val="22"/>
              </w:rPr>
            </w:pPr>
            <w:r w:rsidRPr="003A69D0">
              <w:rPr>
                <w:rFonts w:cs="Arial"/>
                <w:color w:val="000000"/>
                <w:sz w:val="22"/>
                <w:szCs w:val="22"/>
              </w:rPr>
              <w:t>Joined Oct 2012</w:t>
            </w:r>
          </w:p>
        </w:tc>
      </w:tr>
    </w:tbl>
    <w:p w14:paraId="718B73C3" w14:textId="77777777" w:rsidR="007364F2" w:rsidRPr="003A69D0" w:rsidRDefault="007364F2" w:rsidP="007364F2">
      <w:pPr>
        <w:rPr>
          <w:rFonts w:asciiTheme="majorHAnsi" w:hAnsiTheme="majorHAnsi"/>
          <w:sz w:val="22"/>
          <w:szCs w:val="22"/>
        </w:rPr>
      </w:pPr>
    </w:p>
    <w:p w14:paraId="13D95C2D" w14:textId="77777777" w:rsidR="00257D7C" w:rsidRPr="00EC258C" w:rsidRDefault="00257D7C">
      <w:pPr>
        <w:rPr>
          <w:rFonts w:asciiTheme="majorHAnsi" w:hAnsiTheme="majorHAnsi"/>
          <w:sz w:val="22"/>
          <w:szCs w:val="22"/>
        </w:rPr>
      </w:pPr>
    </w:p>
    <w:sectPr w:rsidR="00257D7C" w:rsidRPr="00EC258C" w:rsidSect="009E7E0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0C523" w14:textId="77777777" w:rsidR="0049553C" w:rsidRDefault="0049553C" w:rsidP="00133225">
      <w:r>
        <w:separator/>
      </w:r>
    </w:p>
  </w:endnote>
  <w:endnote w:type="continuationSeparator" w:id="0">
    <w:p w14:paraId="0CFCC29A" w14:textId="77777777" w:rsidR="0049553C" w:rsidRDefault="0049553C" w:rsidP="0013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63EA7" w14:textId="77777777" w:rsidR="0049553C" w:rsidRDefault="0049553C" w:rsidP="00133225">
      <w:r>
        <w:separator/>
      </w:r>
    </w:p>
  </w:footnote>
  <w:footnote w:type="continuationSeparator" w:id="0">
    <w:p w14:paraId="41EBFDDF" w14:textId="77777777" w:rsidR="0049553C" w:rsidRDefault="0049553C" w:rsidP="001332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0015"/>
    <w:multiLevelType w:val="multilevel"/>
    <w:tmpl w:val="51D6E50A"/>
    <w:lvl w:ilvl="0">
      <w:start w:val="1"/>
      <w:numFmt w:val="decimal"/>
      <w:lvlText w:val="%1."/>
      <w:lvlJc w:val="left"/>
      <w:pPr>
        <w:ind w:left="360" w:hanging="360"/>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401772A6"/>
    <w:multiLevelType w:val="hybridMultilevel"/>
    <w:tmpl w:val="339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7318F"/>
    <w:multiLevelType w:val="hybridMultilevel"/>
    <w:tmpl w:val="10E4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29467C"/>
    <w:multiLevelType w:val="hybridMultilevel"/>
    <w:tmpl w:val="155E0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8C"/>
    <w:rsid w:val="00133225"/>
    <w:rsid w:val="001B0DE6"/>
    <w:rsid w:val="001E65B0"/>
    <w:rsid w:val="00257D7C"/>
    <w:rsid w:val="00350B3F"/>
    <w:rsid w:val="00420EC5"/>
    <w:rsid w:val="00463B35"/>
    <w:rsid w:val="00481CD5"/>
    <w:rsid w:val="0049553C"/>
    <w:rsid w:val="00525255"/>
    <w:rsid w:val="006B2B26"/>
    <w:rsid w:val="0073303A"/>
    <w:rsid w:val="007364F2"/>
    <w:rsid w:val="00742DD4"/>
    <w:rsid w:val="008327D3"/>
    <w:rsid w:val="008F31AB"/>
    <w:rsid w:val="009A1644"/>
    <w:rsid w:val="009E7E07"/>
    <w:rsid w:val="00A32A3C"/>
    <w:rsid w:val="00A51988"/>
    <w:rsid w:val="00AB1D91"/>
    <w:rsid w:val="00AF070D"/>
    <w:rsid w:val="00B77102"/>
    <w:rsid w:val="00CC6705"/>
    <w:rsid w:val="00D26E61"/>
    <w:rsid w:val="00DB5AEE"/>
    <w:rsid w:val="00E24868"/>
    <w:rsid w:val="00EC258C"/>
    <w:rsid w:val="00FD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82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autoRedefine/>
    <w:uiPriority w:val="99"/>
    <w:qFormat/>
    <w:rsid w:val="00EC258C"/>
    <w:pPr>
      <w:keepNext/>
      <w:spacing w:after="240" w:line="300" w:lineRule="atLeast"/>
      <w:outlineLvl w:val="4"/>
    </w:pPr>
    <w:rPr>
      <w:rFonts w:ascii="Arial" w:eastAsia="Times New Roman" w:hAnsi="Arial" w:cs="Times New Roman"/>
      <w:b/>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C258C"/>
    <w:rPr>
      <w:rFonts w:ascii="Arial" w:eastAsia="Times New Roman" w:hAnsi="Arial" w:cs="Times New Roman"/>
      <w:b/>
      <w:sz w:val="21"/>
      <w:szCs w:val="20"/>
      <w:lang w:val="en-GB" w:eastAsia="en-GB"/>
    </w:rPr>
  </w:style>
  <w:style w:type="paragraph" w:styleId="ListParagraph">
    <w:name w:val="List Paragraph"/>
    <w:basedOn w:val="Normal"/>
    <w:uiPriority w:val="34"/>
    <w:qFormat/>
    <w:rsid w:val="00EC258C"/>
    <w:pPr>
      <w:spacing w:after="240" w:line="300" w:lineRule="atLeast"/>
      <w:ind w:left="720"/>
    </w:pPr>
    <w:rPr>
      <w:rFonts w:ascii="Arial" w:eastAsia="Times New Roman" w:hAnsi="Arial" w:cs="Times New Roman"/>
      <w:sz w:val="21"/>
      <w:szCs w:val="20"/>
      <w:lang w:val="en-GB" w:eastAsia="en-GB"/>
    </w:rPr>
  </w:style>
  <w:style w:type="character" w:customStyle="1" w:styleId="apple-style-span">
    <w:name w:val="apple-style-span"/>
    <w:basedOn w:val="DefaultParagraphFont"/>
    <w:uiPriority w:val="99"/>
    <w:rsid w:val="00EC258C"/>
  </w:style>
  <w:style w:type="table" w:styleId="TableGrid">
    <w:name w:val="Table Grid"/>
    <w:basedOn w:val="TableNormal"/>
    <w:uiPriority w:val="59"/>
    <w:rsid w:val="00EC2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3225"/>
    <w:pPr>
      <w:tabs>
        <w:tab w:val="center" w:pos="4320"/>
        <w:tab w:val="right" w:pos="8640"/>
      </w:tabs>
    </w:pPr>
  </w:style>
  <w:style w:type="character" w:customStyle="1" w:styleId="HeaderChar">
    <w:name w:val="Header Char"/>
    <w:basedOn w:val="DefaultParagraphFont"/>
    <w:link w:val="Header"/>
    <w:uiPriority w:val="99"/>
    <w:rsid w:val="00133225"/>
  </w:style>
  <w:style w:type="paragraph" w:styleId="Footer">
    <w:name w:val="footer"/>
    <w:basedOn w:val="Normal"/>
    <w:link w:val="FooterChar"/>
    <w:uiPriority w:val="99"/>
    <w:unhideWhenUsed/>
    <w:rsid w:val="00133225"/>
    <w:pPr>
      <w:tabs>
        <w:tab w:val="center" w:pos="4320"/>
        <w:tab w:val="right" w:pos="8640"/>
      </w:tabs>
    </w:pPr>
  </w:style>
  <w:style w:type="character" w:customStyle="1" w:styleId="FooterChar">
    <w:name w:val="Footer Char"/>
    <w:basedOn w:val="DefaultParagraphFont"/>
    <w:link w:val="Footer"/>
    <w:uiPriority w:val="99"/>
    <w:rsid w:val="00133225"/>
  </w:style>
  <w:style w:type="character" w:styleId="Hyperlink">
    <w:name w:val="Hyperlink"/>
    <w:basedOn w:val="DefaultParagraphFont"/>
    <w:uiPriority w:val="99"/>
    <w:unhideWhenUsed/>
    <w:rsid w:val="00CC67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autoRedefine/>
    <w:uiPriority w:val="99"/>
    <w:qFormat/>
    <w:rsid w:val="00EC258C"/>
    <w:pPr>
      <w:keepNext/>
      <w:spacing w:after="240" w:line="300" w:lineRule="atLeast"/>
      <w:outlineLvl w:val="4"/>
    </w:pPr>
    <w:rPr>
      <w:rFonts w:ascii="Arial" w:eastAsia="Times New Roman" w:hAnsi="Arial" w:cs="Times New Roman"/>
      <w:b/>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C258C"/>
    <w:rPr>
      <w:rFonts w:ascii="Arial" w:eastAsia="Times New Roman" w:hAnsi="Arial" w:cs="Times New Roman"/>
      <w:b/>
      <w:sz w:val="21"/>
      <w:szCs w:val="20"/>
      <w:lang w:val="en-GB" w:eastAsia="en-GB"/>
    </w:rPr>
  </w:style>
  <w:style w:type="paragraph" w:styleId="ListParagraph">
    <w:name w:val="List Paragraph"/>
    <w:basedOn w:val="Normal"/>
    <w:uiPriority w:val="34"/>
    <w:qFormat/>
    <w:rsid w:val="00EC258C"/>
    <w:pPr>
      <w:spacing w:after="240" w:line="300" w:lineRule="atLeast"/>
      <w:ind w:left="720"/>
    </w:pPr>
    <w:rPr>
      <w:rFonts w:ascii="Arial" w:eastAsia="Times New Roman" w:hAnsi="Arial" w:cs="Times New Roman"/>
      <w:sz w:val="21"/>
      <w:szCs w:val="20"/>
      <w:lang w:val="en-GB" w:eastAsia="en-GB"/>
    </w:rPr>
  </w:style>
  <w:style w:type="character" w:customStyle="1" w:styleId="apple-style-span">
    <w:name w:val="apple-style-span"/>
    <w:basedOn w:val="DefaultParagraphFont"/>
    <w:uiPriority w:val="99"/>
    <w:rsid w:val="00EC258C"/>
  </w:style>
  <w:style w:type="table" w:styleId="TableGrid">
    <w:name w:val="Table Grid"/>
    <w:basedOn w:val="TableNormal"/>
    <w:uiPriority w:val="59"/>
    <w:rsid w:val="00EC2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3225"/>
    <w:pPr>
      <w:tabs>
        <w:tab w:val="center" w:pos="4320"/>
        <w:tab w:val="right" w:pos="8640"/>
      </w:tabs>
    </w:pPr>
  </w:style>
  <w:style w:type="character" w:customStyle="1" w:styleId="HeaderChar">
    <w:name w:val="Header Char"/>
    <w:basedOn w:val="DefaultParagraphFont"/>
    <w:link w:val="Header"/>
    <w:uiPriority w:val="99"/>
    <w:rsid w:val="00133225"/>
  </w:style>
  <w:style w:type="paragraph" w:styleId="Footer">
    <w:name w:val="footer"/>
    <w:basedOn w:val="Normal"/>
    <w:link w:val="FooterChar"/>
    <w:uiPriority w:val="99"/>
    <w:unhideWhenUsed/>
    <w:rsid w:val="00133225"/>
    <w:pPr>
      <w:tabs>
        <w:tab w:val="center" w:pos="4320"/>
        <w:tab w:val="right" w:pos="8640"/>
      </w:tabs>
    </w:pPr>
  </w:style>
  <w:style w:type="character" w:customStyle="1" w:styleId="FooterChar">
    <w:name w:val="Footer Char"/>
    <w:basedOn w:val="DefaultParagraphFont"/>
    <w:link w:val="Footer"/>
    <w:uiPriority w:val="99"/>
    <w:rsid w:val="00133225"/>
  </w:style>
  <w:style w:type="character" w:styleId="Hyperlink">
    <w:name w:val="Hyperlink"/>
    <w:basedOn w:val="DefaultParagraphFont"/>
    <w:uiPriority w:val="99"/>
    <w:unhideWhenUsed/>
    <w:rsid w:val="00CC6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s.ac.uk/research/research-impact/" TargetMode="External"/><Relationship Id="rId12" Type="http://schemas.openxmlformats.org/officeDocument/2006/relationships/hyperlink" Target="http://www2.le.ac.uk/departments/education/research" TargetMode="External"/><Relationship Id="rId13" Type="http://schemas.openxmlformats.org/officeDocument/2006/relationships/hyperlink" Target="http://www2.hull.ac.uk/education/research1.aspx" TargetMode="External"/><Relationship Id="rId14" Type="http://schemas.openxmlformats.org/officeDocument/2006/relationships/hyperlink" Target="http://www.southampton.ac.uk/education/research/centres.page" TargetMode="External"/><Relationship Id="rId15" Type="http://schemas.openxmlformats.org/officeDocument/2006/relationships/hyperlink" Target="http://www.sheffield.ac.uk/education/research" TargetMode="External"/><Relationship Id="rId16" Type="http://schemas.openxmlformats.org/officeDocument/2006/relationships/hyperlink" Target="http://socialsciences.exeter.ac.uk/education/research/centr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v.ac.uk/default.aspx?page=25622" TargetMode="External"/><Relationship Id="rId9" Type="http://schemas.openxmlformats.org/officeDocument/2006/relationships/hyperlink" Target="http://www.ioe.ac.uk/research.html" TargetMode="External"/><Relationship Id="rId10" Type="http://schemas.openxmlformats.org/officeDocument/2006/relationships/hyperlink" Target="http://www.lkl.ac.uk/cms/index.php?option=com_frontpage&amp;Item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2130</Words>
  <Characters>12062</Characters>
  <Application>Microsoft Macintosh Word</Application>
  <DocSecurity>0</DocSecurity>
  <Lines>227</Lines>
  <Paragraphs>57</Paragraphs>
  <ScaleCrop>false</ScaleCrop>
  <Company>Bournemouth University</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McDougall</dc:creator>
  <cp:keywords/>
  <dc:description/>
  <cp:lastModifiedBy>Julian McDougall</cp:lastModifiedBy>
  <cp:revision>4</cp:revision>
  <dcterms:created xsi:type="dcterms:W3CDTF">2014-05-21T13:53:00Z</dcterms:created>
  <dcterms:modified xsi:type="dcterms:W3CDTF">2014-09-01T07:26:00Z</dcterms:modified>
</cp:coreProperties>
</file>