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5" w:rsidRDefault="00A66DB5" w:rsidP="00A66DB5">
      <w:pPr>
        <w:pStyle w:val="NoSpacing"/>
        <w:jc w:val="center"/>
        <w:rPr>
          <w:b/>
          <w:sz w:val="28"/>
          <w:szCs w:val="28"/>
        </w:rPr>
      </w:pPr>
      <w:r w:rsidRPr="00A66DB5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D83C3" wp14:editId="5764C481">
                <wp:simplePos x="0" y="0"/>
                <wp:positionH relativeFrom="column">
                  <wp:posOffset>-839470</wp:posOffset>
                </wp:positionH>
                <wp:positionV relativeFrom="paragraph">
                  <wp:posOffset>-828675</wp:posOffset>
                </wp:positionV>
                <wp:extent cx="1076325" cy="10668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B5" w:rsidRDefault="00A66DB5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DA5EC4" wp14:editId="04726F3B">
                                  <wp:extent cx="890019" cy="923925"/>
                                  <wp:effectExtent l="0" t="0" r="5715" b="0"/>
                                  <wp:docPr id="1" name="Picture 1" descr="BU-WEB-logo-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BU-WEB-logo-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019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1pt;margin-top:-65.25pt;width:8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xOIQIAAB4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" stroked="f">
                <v:textbox>
                  <w:txbxContent>
                    <w:p w:rsidR="00A66DB5" w:rsidRDefault="00A66DB5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0DA5EC4" wp14:editId="04726F3B">
                            <wp:extent cx="890019" cy="923925"/>
                            <wp:effectExtent l="0" t="0" r="5715" b="0"/>
                            <wp:docPr id="1" name="Picture 1" descr="BU-WEB-logo-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BU-WEB-logo-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019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6148">
        <w:rPr>
          <w:b/>
          <w:sz w:val="28"/>
          <w:szCs w:val="28"/>
        </w:rPr>
        <w:t>STUDENT</w:t>
      </w:r>
      <w:r w:rsidRPr="00A66DB5">
        <w:rPr>
          <w:b/>
          <w:sz w:val="28"/>
          <w:szCs w:val="28"/>
        </w:rPr>
        <w:t xml:space="preserve"> RESEARCH ASSISTANT </w:t>
      </w:r>
      <w:r w:rsidR="005C0318">
        <w:rPr>
          <w:b/>
          <w:sz w:val="28"/>
          <w:szCs w:val="28"/>
        </w:rPr>
        <w:t>(</w:t>
      </w:r>
      <w:r w:rsidR="00696148">
        <w:rPr>
          <w:b/>
          <w:sz w:val="28"/>
          <w:szCs w:val="28"/>
        </w:rPr>
        <w:t>S</w:t>
      </w:r>
      <w:r w:rsidR="00267FDF">
        <w:rPr>
          <w:b/>
          <w:sz w:val="28"/>
          <w:szCs w:val="28"/>
        </w:rPr>
        <w:t>RA</w:t>
      </w:r>
      <w:r w:rsidR="005C0318">
        <w:rPr>
          <w:b/>
          <w:sz w:val="28"/>
          <w:szCs w:val="28"/>
        </w:rPr>
        <w:t xml:space="preserve">) </w:t>
      </w:r>
      <w:r w:rsidRPr="00A66DB5">
        <w:rPr>
          <w:b/>
          <w:sz w:val="28"/>
          <w:szCs w:val="28"/>
        </w:rPr>
        <w:t>PROGRAMME</w:t>
      </w:r>
    </w:p>
    <w:p w:rsidR="005C0318" w:rsidRPr="00A66DB5" w:rsidRDefault="005C0318" w:rsidP="00A66DB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Criteria for staff applications</w:t>
      </w:r>
    </w:p>
    <w:p w:rsidR="00A66DB5" w:rsidRPr="00A66DB5" w:rsidRDefault="00A66DB5" w:rsidP="00A66DB5">
      <w:pPr>
        <w:pStyle w:val="NoSpacing"/>
      </w:pPr>
    </w:p>
    <w:p w:rsidR="00A66DB5" w:rsidRDefault="00A66DB5" w:rsidP="00A66DB5">
      <w:pPr>
        <w:pStyle w:val="NoSpacing"/>
      </w:pPr>
    </w:p>
    <w:p w:rsidR="00A66DB5" w:rsidRPr="005C0318" w:rsidRDefault="005C0318" w:rsidP="00A66DB5">
      <w:pPr>
        <w:pStyle w:val="NoSpacing"/>
        <w:rPr>
          <w:b/>
        </w:rPr>
      </w:pPr>
      <w:r>
        <w:rPr>
          <w:b/>
        </w:rPr>
        <w:t xml:space="preserve">Introduction </w:t>
      </w:r>
    </w:p>
    <w:p w:rsidR="00A66DB5" w:rsidRPr="00A66DB5" w:rsidRDefault="00696148" w:rsidP="00A66DB5">
      <w:pPr>
        <w:pStyle w:val="NoSpacing"/>
      </w:pPr>
      <w:r>
        <w:t>The Student</w:t>
      </w:r>
      <w:r w:rsidR="00267FDF">
        <w:t xml:space="preserve"> Research Assistant</w:t>
      </w:r>
      <w:r>
        <w:t xml:space="preserve"> (S</w:t>
      </w:r>
      <w:r w:rsidR="00A66DB5" w:rsidRPr="00A66DB5">
        <w:t xml:space="preserve">RA) programme at BU was launched in autumn </w:t>
      </w:r>
    </w:p>
    <w:p w:rsidR="00A66DB5" w:rsidRPr="00A66DB5" w:rsidRDefault="00A66DB5" w:rsidP="00A66DB5">
      <w:pPr>
        <w:pStyle w:val="NoSpacing"/>
      </w:pPr>
      <w:proofErr w:type="gramStart"/>
      <w:r w:rsidRPr="00A66DB5">
        <w:t>2014, funded</w:t>
      </w:r>
      <w:r w:rsidR="005C0318">
        <w:t xml:space="preserve"> by the Fusion Investment Fund.</w:t>
      </w:r>
      <w:proofErr w:type="gramEnd"/>
      <w:r w:rsidRPr="00A66DB5">
        <w:t xml:space="preserve"> It provides on-c</w:t>
      </w:r>
      <w:r w:rsidR="005C0318">
        <w:t xml:space="preserve">ampus employment opportunities for undergraduate </w:t>
      </w:r>
      <w:r w:rsidRPr="00A66DB5">
        <w:t>students to work in clusters, centres and in</w:t>
      </w:r>
      <w:r w:rsidR="005C0318">
        <w:t xml:space="preserve">stitutes, alongside academics, </w:t>
      </w:r>
      <w:r w:rsidRPr="00A66DB5">
        <w:t>supporting research that is directly related to their career path an</w:t>
      </w:r>
      <w:r w:rsidR="005C0318">
        <w:t xml:space="preserve">d/or academic discipline. This </w:t>
      </w:r>
      <w:r w:rsidRPr="00A66DB5">
        <w:t>enables the student to assist academic staff with their researc</w:t>
      </w:r>
      <w:r w:rsidR="005C0318">
        <w:t xml:space="preserve">h whilst also gaining research </w:t>
      </w:r>
      <w:r w:rsidRPr="00A66DB5">
        <w:t xml:space="preserve">experience. </w:t>
      </w:r>
    </w:p>
    <w:p w:rsidR="005C0318" w:rsidRPr="00A66DB5" w:rsidRDefault="005C0318" w:rsidP="00A66DB5">
      <w:pPr>
        <w:pStyle w:val="NoSpacing"/>
      </w:pPr>
    </w:p>
    <w:p w:rsidR="00A66DB5" w:rsidRPr="005C0318" w:rsidRDefault="00696148" w:rsidP="00A66DB5">
      <w:pPr>
        <w:pStyle w:val="NoSpacing"/>
        <w:rPr>
          <w:b/>
        </w:rPr>
      </w:pPr>
      <w:r>
        <w:rPr>
          <w:b/>
        </w:rPr>
        <w:t>S</w:t>
      </w:r>
      <w:r w:rsidR="00A66DB5" w:rsidRPr="005C0318">
        <w:rPr>
          <w:b/>
        </w:rPr>
        <w:t xml:space="preserve">RA programme objectives: </w:t>
      </w:r>
    </w:p>
    <w:p w:rsidR="00A66DB5" w:rsidRPr="00A66DB5" w:rsidRDefault="00A66DB5" w:rsidP="005C0318">
      <w:pPr>
        <w:pStyle w:val="NoSpacing"/>
        <w:numPr>
          <w:ilvl w:val="0"/>
          <w:numId w:val="1"/>
        </w:numPr>
      </w:pPr>
      <w:r w:rsidRPr="00A66DB5">
        <w:t>Increase co-creat</w:t>
      </w:r>
      <w:r w:rsidR="00584314">
        <w:t xml:space="preserve">ion between staff and students through the production of </w:t>
      </w:r>
      <w:r w:rsidRPr="00A66DB5">
        <w:t>outputs</w:t>
      </w:r>
      <w:r w:rsidR="005C0318">
        <w:t>, related to PI10</w:t>
      </w:r>
    </w:p>
    <w:p w:rsidR="00A66DB5" w:rsidRPr="00A66DB5" w:rsidRDefault="00A66DB5" w:rsidP="005C0318">
      <w:pPr>
        <w:pStyle w:val="NoSpacing"/>
        <w:numPr>
          <w:ilvl w:val="0"/>
          <w:numId w:val="1"/>
        </w:numPr>
      </w:pPr>
      <w:r w:rsidRPr="00A66DB5">
        <w:t xml:space="preserve">Increase student satisfaction and NSS scores </w:t>
      </w:r>
    </w:p>
    <w:p w:rsidR="005C0318" w:rsidRDefault="00A66DB5" w:rsidP="00A66DB5">
      <w:pPr>
        <w:pStyle w:val="NoSpacing"/>
        <w:numPr>
          <w:ilvl w:val="0"/>
          <w:numId w:val="1"/>
        </w:numPr>
      </w:pPr>
      <w:r w:rsidRPr="00A66DB5">
        <w:t xml:space="preserve">Promote careers in academia and research to students </w:t>
      </w:r>
    </w:p>
    <w:p w:rsidR="005C0318" w:rsidRDefault="00A66DB5" w:rsidP="00A66DB5">
      <w:pPr>
        <w:pStyle w:val="NoSpacing"/>
        <w:numPr>
          <w:ilvl w:val="0"/>
          <w:numId w:val="1"/>
        </w:numPr>
      </w:pPr>
      <w:r w:rsidRPr="00A66DB5">
        <w:t>Inc</w:t>
      </w:r>
      <w:r w:rsidR="005C0318">
        <w:t xml:space="preserve">rease progression </w:t>
      </w:r>
      <w:r w:rsidR="00696148">
        <w:t>to further study</w:t>
      </w:r>
    </w:p>
    <w:p w:rsidR="00A66DB5" w:rsidRPr="00A66DB5" w:rsidRDefault="00A66DB5" w:rsidP="00A66DB5">
      <w:pPr>
        <w:pStyle w:val="NoSpacing"/>
        <w:numPr>
          <w:ilvl w:val="0"/>
          <w:numId w:val="1"/>
        </w:numPr>
      </w:pPr>
      <w:r w:rsidRPr="00A66DB5">
        <w:t xml:space="preserve">Provide support to academic staff with their research </w:t>
      </w:r>
    </w:p>
    <w:p w:rsidR="005C0318" w:rsidRDefault="005C0318" w:rsidP="00A66DB5">
      <w:pPr>
        <w:pStyle w:val="NoSpacing"/>
      </w:pPr>
    </w:p>
    <w:p w:rsidR="00A66DB5" w:rsidRPr="00A66DB5" w:rsidRDefault="005C0318" w:rsidP="00A66DB5">
      <w:pPr>
        <w:pStyle w:val="NoSpacing"/>
      </w:pPr>
      <w:r>
        <w:t>Departments have been allocated a budget to</w:t>
      </w:r>
      <w:r w:rsidR="00696148">
        <w:t xml:space="preserve"> support a specific number of S</w:t>
      </w:r>
      <w:r>
        <w:t xml:space="preserve">RAs through this scheme and the allocation process will be undertaken at Faculty level. </w:t>
      </w:r>
    </w:p>
    <w:p w:rsidR="00A66DB5" w:rsidRDefault="00A66DB5" w:rsidP="00A66DB5">
      <w:pPr>
        <w:pStyle w:val="NoSpacing"/>
      </w:pPr>
    </w:p>
    <w:p w:rsidR="00696148" w:rsidRPr="00696148" w:rsidRDefault="00696148" w:rsidP="00A66DB5">
      <w:pPr>
        <w:pStyle w:val="NoSpacing"/>
        <w:rPr>
          <w:b/>
        </w:rPr>
      </w:pPr>
      <w:r w:rsidRPr="00696148">
        <w:rPr>
          <w:b/>
        </w:rPr>
        <w:t xml:space="preserve">SRA programme conditions </w:t>
      </w:r>
    </w:p>
    <w:p w:rsidR="00696148" w:rsidRDefault="00696148" w:rsidP="00696148">
      <w:pPr>
        <w:pStyle w:val="NoSpacing"/>
        <w:numPr>
          <w:ilvl w:val="0"/>
          <w:numId w:val="6"/>
        </w:numPr>
      </w:pPr>
      <w:r>
        <w:t xml:space="preserve">Only BU on-campus students on taught programmes may apply for the positions </w:t>
      </w:r>
    </w:p>
    <w:p w:rsidR="00696148" w:rsidRDefault="00696148" w:rsidP="00696148">
      <w:pPr>
        <w:pStyle w:val="NoSpacing"/>
        <w:numPr>
          <w:ilvl w:val="0"/>
          <w:numId w:val="6"/>
        </w:numPr>
      </w:pPr>
      <w:r>
        <w:t xml:space="preserve">All studentships are 120 hours and must be taken </w:t>
      </w:r>
      <w:r w:rsidR="003115B7">
        <w:t>over</w:t>
      </w:r>
      <w:r>
        <w:t xml:space="preserve"> 4 weeks in the summer. Students within the Faculty of Health &amp; Social Sciences who have a heavy practice based element to their programmes may undertake the work over a longer period. </w:t>
      </w:r>
    </w:p>
    <w:p w:rsidR="00696148" w:rsidRDefault="00696148" w:rsidP="00696148">
      <w:pPr>
        <w:pStyle w:val="NoSpacing"/>
        <w:numPr>
          <w:ilvl w:val="0"/>
          <w:numId w:val="6"/>
        </w:numPr>
      </w:pPr>
      <w:r>
        <w:t xml:space="preserve">Only students with an average </w:t>
      </w:r>
      <w:r w:rsidR="007118D6">
        <w:t xml:space="preserve">grade </w:t>
      </w:r>
      <w:r>
        <w:t>of 70% or higher may apply.</w:t>
      </w:r>
    </w:p>
    <w:p w:rsidR="005C0318" w:rsidRPr="00A66DB5" w:rsidRDefault="005C0318" w:rsidP="00A66DB5">
      <w:pPr>
        <w:pStyle w:val="NoSpacing"/>
      </w:pPr>
    </w:p>
    <w:p w:rsidR="00A66DB5" w:rsidRPr="005C0318" w:rsidRDefault="005C0318" w:rsidP="00A66DB5">
      <w:pPr>
        <w:pStyle w:val="NoSpacing"/>
        <w:rPr>
          <w:b/>
        </w:rPr>
      </w:pPr>
      <w:r w:rsidRPr="005C0318">
        <w:rPr>
          <w:b/>
        </w:rPr>
        <w:t xml:space="preserve">Application process </w:t>
      </w:r>
    </w:p>
    <w:p w:rsidR="00A66DB5" w:rsidRPr="00A66DB5" w:rsidRDefault="00A66DB5" w:rsidP="005C0318">
      <w:pPr>
        <w:pStyle w:val="NoSpacing"/>
      </w:pPr>
      <w:r w:rsidRPr="00A66DB5">
        <w:t>There are two stages to the application process: 1) staff applica</w:t>
      </w:r>
      <w:r w:rsidR="005C0318">
        <w:t xml:space="preserve">tion stage whereby BU academic </w:t>
      </w:r>
      <w:r w:rsidRPr="00A66DB5">
        <w:t xml:space="preserve">staff </w:t>
      </w:r>
      <w:r w:rsidR="005C0318">
        <w:t xml:space="preserve">within each Department </w:t>
      </w:r>
      <w:r w:rsidRPr="00A66DB5">
        <w:t xml:space="preserve">can apply for funding for </w:t>
      </w:r>
      <w:r w:rsidR="00696148">
        <w:t>S</w:t>
      </w:r>
      <w:r w:rsidR="00267FDF">
        <w:t>RA</w:t>
      </w:r>
      <w:r w:rsidRPr="00A66DB5">
        <w:t xml:space="preserve"> positions, and 2) student selecti</w:t>
      </w:r>
      <w:r w:rsidR="005C0318">
        <w:t xml:space="preserve">on stage whereby Department staff </w:t>
      </w:r>
      <w:r w:rsidRPr="00A66DB5">
        <w:t xml:space="preserve">recruit to the funded positions. </w:t>
      </w:r>
    </w:p>
    <w:p w:rsidR="00A66DB5" w:rsidRPr="00A66DB5" w:rsidRDefault="00A66DB5" w:rsidP="00A66DB5">
      <w:pPr>
        <w:pStyle w:val="NoSpacing"/>
      </w:pPr>
      <w:bookmarkStart w:id="0" w:name="_GoBack"/>
      <w:bookmarkEnd w:id="0"/>
    </w:p>
    <w:p w:rsidR="00A66DB5" w:rsidRPr="00A66DB5" w:rsidRDefault="00A66DB5" w:rsidP="00A66DB5">
      <w:pPr>
        <w:pStyle w:val="NoSpacing"/>
      </w:pPr>
      <w:proofErr w:type="gramStart"/>
      <w:r w:rsidRPr="00A66DB5">
        <w:t>Staff apply</w:t>
      </w:r>
      <w:proofErr w:type="gramEnd"/>
      <w:r w:rsidRPr="00A66DB5">
        <w:t xml:space="preserve"> for funding for </w:t>
      </w:r>
      <w:r w:rsidR="00696148">
        <w:t>S</w:t>
      </w:r>
      <w:r w:rsidR="00267FDF">
        <w:t>RA</w:t>
      </w:r>
      <w:r w:rsidRPr="00A66DB5">
        <w:t xml:space="preserve"> positions by completing an online </w:t>
      </w:r>
      <w:r w:rsidR="005C0318">
        <w:t xml:space="preserve">application form. Applications </w:t>
      </w:r>
      <w:r w:rsidRPr="00A66DB5">
        <w:t xml:space="preserve">received are reviewed by a </w:t>
      </w:r>
      <w:r w:rsidR="005C0318">
        <w:t xml:space="preserve">Faculty </w:t>
      </w:r>
      <w:r w:rsidRPr="00A66DB5">
        <w:t>panel using the criteria presente</w:t>
      </w:r>
      <w:r w:rsidR="005C0318">
        <w:t xml:space="preserve">d in this paper. Decisions are </w:t>
      </w:r>
      <w:r w:rsidRPr="00A66DB5">
        <w:t xml:space="preserve">confirmed with staff applicants </w:t>
      </w:r>
      <w:r w:rsidR="005C0318">
        <w:t xml:space="preserve">by the Chair </w:t>
      </w:r>
      <w:r w:rsidRPr="00A66DB5">
        <w:t xml:space="preserve">within one week of being made by the panel. </w:t>
      </w:r>
    </w:p>
    <w:p w:rsidR="00A66DB5" w:rsidRDefault="00A66DB5" w:rsidP="00A66DB5">
      <w:pPr>
        <w:pStyle w:val="NoSpacing"/>
      </w:pPr>
    </w:p>
    <w:p w:rsidR="005C0318" w:rsidRPr="00A66DB5" w:rsidRDefault="005C0318" w:rsidP="00A66DB5">
      <w:pPr>
        <w:pStyle w:val="NoSpacing"/>
      </w:pPr>
    </w:p>
    <w:p w:rsidR="00A66DB5" w:rsidRPr="005C0318" w:rsidRDefault="00A66DB5" w:rsidP="00A66DB5">
      <w:pPr>
        <w:pStyle w:val="NoSpacing"/>
        <w:rPr>
          <w:b/>
        </w:rPr>
      </w:pPr>
      <w:r w:rsidRPr="005C0318">
        <w:rPr>
          <w:b/>
        </w:rPr>
        <w:t>Criter</w:t>
      </w:r>
      <w:r w:rsidR="005C0318">
        <w:rPr>
          <w:b/>
        </w:rPr>
        <w:t xml:space="preserve">ia and decision-making process </w:t>
      </w:r>
    </w:p>
    <w:p w:rsidR="00A66DB5" w:rsidRPr="00A66DB5" w:rsidRDefault="00A66DB5" w:rsidP="00A66DB5">
      <w:pPr>
        <w:pStyle w:val="NoSpacing"/>
      </w:pPr>
      <w:r w:rsidRPr="00A66DB5">
        <w:t xml:space="preserve">In assessing staff applications for funded </w:t>
      </w:r>
      <w:r w:rsidR="00696148">
        <w:t>SR</w:t>
      </w:r>
      <w:r w:rsidR="00267FDF">
        <w:t>A</w:t>
      </w:r>
      <w:r w:rsidRPr="00A66DB5">
        <w:t xml:space="preserve"> positions, the panel</w:t>
      </w:r>
      <w:r w:rsidR="005C0318">
        <w:t xml:space="preserve"> use the following criteria to </w:t>
      </w:r>
      <w:r w:rsidRPr="00A66DB5">
        <w:t>prioritise funding for positions that will provide an excellent st</w:t>
      </w:r>
      <w:r w:rsidR="005C0318">
        <w:t xml:space="preserve">udent and staff experience and </w:t>
      </w:r>
      <w:r w:rsidRPr="00A66DB5">
        <w:t>support the achievement of the programme objectives. Applica</w:t>
      </w:r>
      <w:r w:rsidR="005C0318">
        <w:t xml:space="preserve">tions are assessed against the </w:t>
      </w:r>
      <w:r w:rsidRPr="00A66DB5">
        <w:t xml:space="preserve">following six criteria: </w:t>
      </w:r>
    </w:p>
    <w:p w:rsidR="00A66DB5" w:rsidRPr="00A66DB5" w:rsidRDefault="00A66DB5" w:rsidP="00A66DB5">
      <w:pPr>
        <w:pStyle w:val="NoSpacing"/>
      </w:pPr>
    </w:p>
    <w:p w:rsidR="005C0318" w:rsidRDefault="00A66DB5" w:rsidP="005C0318">
      <w:pPr>
        <w:pStyle w:val="NoSpacing"/>
        <w:numPr>
          <w:ilvl w:val="0"/>
          <w:numId w:val="5"/>
        </w:numPr>
      </w:pPr>
      <w:r w:rsidRPr="00A66DB5">
        <w:t xml:space="preserve">Student-centred – the position is designed with the student </w:t>
      </w:r>
      <w:r w:rsidR="005C0318">
        <w:t xml:space="preserve">in mind and will provide the </w:t>
      </w:r>
      <w:r w:rsidRPr="00A66DB5">
        <w:t xml:space="preserve">student with transferable skills and enhanced opportunities </w:t>
      </w:r>
      <w:r w:rsidR="005C0318">
        <w:t xml:space="preserve">for further study, a career in </w:t>
      </w:r>
      <w:r w:rsidRPr="00A66DB5">
        <w:t>research/academi</w:t>
      </w:r>
      <w:r w:rsidR="005C0318">
        <w:t xml:space="preserve">a and/or future employability. </w:t>
      </w:r>
    </w:p>
    <w:p w:rsidR="00A66DB5" w:rsidRPr="00A66DB5" w:rsidRDefault="00A66DB5" w:rsidP="005C0318">
      <w:pPr>
        <w:pStyle w:val="NoSpacing"/>
        <w:numPr>
          <w:ilvl w:val="0"/>
          <w:numId w:val="5"/>
        </w:numPr>
      </w:pPr>
      <w:r w:rsidRPr="00A66DB5">
        <w:t>Co-creation and co-production – the position will provide the student and staff me</w:t>
      </w:r>
      <w:r w:rsidR="005C0318">
        <w:t xml:space="preserve">mber with </w:t>
      </w:r>
      <w:r w:rsidRPr="00A66DB5">
        <w:t>clear opportunities for co-creating/co-producing outpu</w:t>
      </w:r>
      <w:r w:rsidR="005C0318">
        <w:t xml:space="preserve">ts, such as journal papers and </w:t>
      </w:r>
      <w:r w:rsidRPr="00A66DB5">
        <w:t xml:space="preserve">conference presentations. </w:t>
      </w:r>
    </w:p>
    <w:p w:rsidR="00A66DB5" w:rsidRPr="00A66DB5" w:rsidRDefault="00A66DB5" w:rsidP="005C0318">
      <w:pPr>
        <w:pStyle w:val="NoSpacing"/>
        <w:numPr>
          <w:ilvl w:val="0"/>
          <w:numId w:val="5"/>
        </w:numPr>
      </w:pPr>
      <w:r w:rsidRPr="00A66DB5">
        <w:lastRenderedPageBreak/>
        <w:t>Fusion – the position meets the BU Fusion agenda of l</w:t>
      </w:r>
      <w:r w:rsidR="005C0318">
        <w:t xml:space="preserve">inking research with education </w:t>
      </w:r>
      <w:r w:rsidRPr="00A66DB5">
        <w:t xml:space="preserve">and/or professional practice. </w:t>
      </w:r>
    </w:p>
    <w:p w:rsidR="00A66DB5" w:rsidRPr="00A66DB5" w:rsidRDefault="00A66DB5" w:rsidP="005C0318">
      <w:pPr>
        <w:pStyle w:val="NoSpacing"/>
        <w:numPr>
          <w:ilvl w:val="0"/>
          <w:numId w:val="5"/>
        </w:numPr>
      </w:pPr>
      <w:r w:rsidRPr="00A66DB5">
        <w:t>External engagement – the position provides the studen</w:t>
      </w:r>
      <w:r w:rsidR="005C0318">
        <w:t xml:space="preserve">t and/or staff member with the </w:t>
      </w:r>
      <w:r w:rsidRPr="00A66DB5">
        <w:t>opportunity for external engagement that wouldn’t other</w:t>
      </w:r>
      <w:r w:rsidR="005C0318">
        <w:t>wise take place, for example a public engagement event.</w:t>
      </w:r>
      <w:r w:rsidRPr="00A66DB5">
        <w:t xml:space="preserve"> </w:t>
      </w:r>
    </w:p>
    <w:p w:rsidR="005C0318" w:rsidRDefault="00A66DB5" w:rsidP="005C0318">
      <w:pPr>
        <w:pStyle w:val="NoSpacing"/>
        <w:numPr>
          <w:ilvl w:val="0"/>
          <w:numId w:val="5"/>
        </w:numPr>
      </w:pPr>
      <w:r w:rsidRPr="00A66DB5">
        <w:t>Impact – the position supports the acceleration and delivery of a potential impact case study for the next REF assessment or the position support</w:t>
      </w:r>
      <w:r w:rsidR="005C0318">
        <w:t xml:space="preserve">s the submission of a research proposal. </w:t>
      </w:r>
    </w:p>
    <w:p w:rsidR="00A66DB5" w:rsidRPr="00A66DB5" w:rsidRDefault="00A66DB5" w:rsidP="005C0318">
      <w:pPr>
        <w:pStyle w:val="NoSpacing"/>
        <w:numPr>
          <w:ilvl w:val="0"/>
          <w:numId w:val="5"/>
        </w:numPr>
      </w:pPr>
      <w:r w:rsidRPr="00A66DB5">
        <w:t>Cross-Faculty – the position supports research activity to take</w:t>
      </w:r>
      <w:r w:rsidR="005C0318">
        <w:t xml:space="preserve"> place outside of a single </w:t>
      </w:r>
      <w:r w:rsidRPr="00A66DB5">
        <w:t xml:space="preserve">Faculty. </w:t>
      </w:r>
    </w:p>
    <w:p w:rsidR="005C0318" w:rsidRDefault="005C0318" w:rsidP="00A66DB5">
      <w:pPr>
        <w:pStyle w:val="NoSpacing"/>
      </w:pPr>
    </w:p>
    <w:p w:rsidR="00A66DB5" w:rsidRDefault="00A66DB5" w:rsidP="00A66DB5">
      <w:pPr>
        <w:pStyle w:val="NoSpacing"/>
      </w:pPr>
      <w:r w:rsidRPr="00A66DB5">
        <w:t>The panel will assess each application against these six criteria, giving</w:t>
      </w:r>
      <w:r w:rsidR="005C0318">
        <w:t xml:space="preserve"> a score out of four for each. </w:t>
      </w:r>
      <w:r w:rsidRPr="00A66DB5">
        <w:t xml:space="preserve">The scores will be totalled to give each application a score out of a maximum of 24. </w:t>
      </w:r>
    </w:p>
    <w:p w:rsidR="005C0318" w:rsidRDefault="005C0318" w:rsidP="00A66DB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5C0318" w:rsidRPr="005C0318" w:rsidTr="005C0318">
        <w:tc>
          <w:tcPr>
            <w:tcW w:w="1668" w:type="dxa"/>
          </w:tcPr>
          <w:p w:rsidR="005C0318" w:rsidRPr="005C0318" w:rsidRDefault="005C0318" w:rsidP="005C0318">
            <w:pPr>
              <w:pStyle w:val="NoSpacing"/>
              <w:jc w:val="center"/>
              <w:rPr>
                <w:b/>
              </w:rPr>
            </w:pPr>
            <w:r w:rsidRPr="005C0318">
              <w:rPr>
                <w:b/>
              </w:rPr>
              <w:t>Score</w:t>
            </w:r>
          </w:p>
        </w:tc>
        <w:tc>
          <w:tcPr>
            <w:tcW w:w="7574" w:type="dxa"/>
          </w:tcPr>
          <w:p w:rsidR="005C0318" w:rsidRPr="005C0318" w:rsidRDefault="005C0318" w:rsidP="005C0318">
            <w:pPr>
              <w:pStyle w:val="NoSpacing"/>
              <w:rPr>
                <w:b/>
              </w:rPr>
            </w:pPr>
            <w:r w:rsidRPr="005C0318">
              <w:rPr>
                <w:b/>
              </w:rPr>
              <w:t xml:space="preserve">Definition </w:t>
            </w:r>
          </w:p>
          <w:p w:rsidR="005C0318" w:rsidRPr="005C0318" w:rsidRDefault="005C0318" w:rsidP="00A66DB5">
            <w:pPr>
              <w:pStyle w:val="NoSpacing"/>
              <w:rPr>
                <w:b/>
              </w:rPr>
            </w:pPr>
          </w:p>
        </w:tc>
      </w:tr>
      <w:tr w:rsidR="005C0318" w:rsidTr="005C0318">
        <w:tc>
          <w:tcPr>
            <w:tcW w:w="1668" w:type="dxa"/>
          </w:tcPr>
          <w:p w:rsidR="005C0318" w:rsidRDefault="005C0318" w:rsidP="005C031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7574" w:type="dxa"/>
          </w:tcPr>
          <w:p w:rsidR="005C0318" w:rsidRDefault="005C0318" w:rsidP="00A66DB5">
            <w:pPr>
              <w:pStyle w:val="NoSpacing"/>
            </w:pPr>
            <w:r w:rsidRPr="00A66DB5">
              <w:t>Provides an outstanding opportunity for achievement of the criteria</w:t>
            </w:r>
          </w:p>
        </w:tc>
      </w:tr>
      <w:tr w:rsidR="005C0318" w:rsidTr="005C0318">
        <w:tc>
          <w:tcPr>
            <w:tcW w:w="1668" w:type="dxa"/>
          </w:tcPr>
          <w:p w:rsidR="005C0318" w:rsidRDefault="005C0318" w:rsidP="005C031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7574" w:type="dxa"/>
          </w:tcPr>
          <w:p w:rsidR="005C0318" w:rsidRDefault="005C0318" w:rsidP="00A66DB5">
            <w:pPr>
              <w:pStyle w:val="NoSpacing"/>
            </w:pPr>
            <w:r w:rsidRPr="00A66DB5">
              <w:t>Provides a good opportunity for achievement of the criteria</w:t>
            </w:r>
          </w:p>
        </w:tc>
      </w:tr>
      <w:tr w:rsidR="005C0318" w:rsidTr="005C0318">
        <w:tc>
          <w:tcPr>
            <w:tcW w:w="1668" w:type="dxa"/>
          </w:tcPr>
          <w:p w:rsidR="005C0318" w:rsidRDefault="005C0318" w:rsidP="005C031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7574" w:type="dxa"/>
          </w:tcPr>
          <w:p w:rsidR="005C0318" w:rsidRDefault="005C0318" w:rsidP="00A66DB5">
            <w:pPr>
              <w:pStyle w:val="NoSpacing"/>
            </w:pPr>
            <w:r w:rsidRPr="00A66DB5">
              <w:t>Provides a limited opportunity for achievement of the criteria</w:t>
            </w:r>
          </w:p>
        </w:tc>
      </w:tr>
      <w:tr w:rsidR="005C0318" w:rsidTr="005C0318">
        <w:tc>
          <w:tcPr>
            <w:tcW w:w="1668" w:type="dxa"/>
          </w:tcPr>
          <w:p w:rsidR="005C0318" w:rsidRDefault="005C0318" w:rsidP="005C031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574" w:type="dxa"/>
          </w:tcPr>
          <w:p w:rsidR="005C0318" w:rsidRDefault="005C0318" w:rsidP="00A66DB5">
            <w:pPr>
              <w:pStyle w:val="NoSpacing"/>
            </w:pPr>
            <w:r w:rsidRPr="00A66DB5">
              <w:t>Does not provide an opportunity for achievement of the criteria</w:t>
            </w:r>
          </w:p>
        </w:tc>
      </w:tr>
    </w:tbl>
    <w:p w:rsidR="00A66DB5" w:rsidRPr="005C0318" w:rsidRDefault="00A66DB5" w:rsidP="00A66DB5">
      <w:pPr>
        <w:pStyle w:val="NoSpacing"/>
        <w:rPr>
          <w:i/>
          <w:sz w:val="20"/>
        </w:rPr>
      </w:pPr>
      <w:r w:rsidRPr="005C0318">
        <w:rPr>
          <w:i/>
          <w:sz w:val="20"/>
        </w:rPr>
        <w:t xml:space="preserve">Table 1: Definitions of scores </w:t>
      </w:r>
    </w:p>
    <w:p w:rsidR="00A66DB5" w:rsidRPr="00A66DB5" w:rsidRDefault="00A66DB5" w:rsidP="00A66DB5">
      <w:pPr>
        <w:pStyle w:val="NoSpacing"/>
      </w:pPr>
    </w:p>
    <w:p w:rsidR="00A66DB5" w:rsidRPr="00A66DB5" w:rsidRDefault="00A66DB5" w:rsidP="00A66DB5">
      <w:pPr>
        <w:pStyle w:val="NoSpacing"/>
      </w:pPr>
      <w:r w:rsidRPr="00A66DB5">
        <w:t>To be eligible for funding</w:t>
      </w:r>
      <w:r w:rsidR="000D4D9B">
        <w:t>,</w:t>
      </w:r>
      <w:r w:rsidRPr="00A66DB5">
        <w:t xml:space="preserve"> applications must achieve a panel consens</w:t>
      </w:r>
      <w:r w:rsidR="005C0318">
        <w:t xml:space="preserve">us score above 15, including a </w:t>
      </w:r>
      <w:r w:rsidRPr="00A66DB5">
        <w:t>score of at least 2 for criteri</w:t>
      </w:r>
      <w:r w:rsidR="00267FDF">
        <w:t>a 1 and 2. Eligible application</w:t>
      </w:r>
      <w:r w:rsidRPr="00A66DB5">
        <w:t xml:space="preserve"> will be </w:t>
      </w:r>
      <w:r w:rsidR="005C0318">
        <w:t xml:space="preserve">ranked with funding awarded to </w:t>
      </w:r>
      <w:r w:rsidRPr="00A66DB5">
        <w:t xml:space="preserve">those scoring the highest. The panel reserves the right to be flexible with the number of positions awarded in each round. </w:t>
      </w:r>
    </w:p>
    <w:p w:rsidR="00A66DB5" w:rsidRPr="00A66DB5" w:rsidRDefault="00A66DB5" w:rsidP="00A66DB5">
      <w:pPr>
        <w:pStyle w:val="NoSpacing"/>
      </w:pPr>
    </w:p>
    <w:p w:rsidR="00A66DB5" w:rsidRPr="00A66DB5" w:rsidRDefault="00A66DB5" w:rsidP="00A66DB5">
      <w:pPr>
        <w:pStyle w:val="NoSpacing"/>
      </w:pPr>
      <w:r w:rsidRPr="00A66DB5">
        <w:t xml:space="preserve">The panel aims to meet within one week of the closing date and for decisions to be confirmed with applicants within one week of the panel meeting. </w:t>
      </w:r>
      <w:r w:rsidR="00A56AA6">
        <w:t xml:space="preserve">The Chair must email </w:t>
      </w:r>
      <w:hyperlink r:id="rId10" w:history="1">
        <w:r w:rsidR="009C2452" w:rsidRPr="00993EF7">
          <w:rPr>
            <w:rStyle w:val="Hyperlink"/>
          </w:rPr>
          <w:t>sra@bournemouth.ac.uk</w:t>
        </w:r>
      </w:hyperlink>
      <w:r w:rsidR="00A56AA6">
        <w:t xml:space="preserve"> within one week of awarding the assistantships to provide information as to which applications have been accepted. </w:t>
      </w:r>
    </w:p>
    <w:p w:rsidR="00A66DB5" w:rsidRDefault="00A66DB5" w:rsidP="00A66DB5">
      <w:pPr>
        <w:pStyle w:val="NoSpacing"/>
      </w:pPr>
    </w:p>
    <w:p w:rsidR="00584314" w:rsidRPr="00A66DB5" w:rsidRDefault="00584314" w:rsidP="00A66DB5">
      <w:pPr>
        <w:pStyle w:val="NoSpacing"/>
      </w:pPr>
    </w:p>
    <w:p w:rsidR="00A66DB5" w:rsidRPr="005C0318" w:rsidRDefault="005C0318" w:rsidP="00A66DB5">
      <w:pPr>
        <w:pStyle w:val="NoSpacing"/>
        <w:rPr>
          <w:b/>
        </w:rPr>
      </w:pPr>
      <w:r>
        <w:rPr>
          <w:b/>
        </w:rPr>
        <w:t xml:space="preserve">Appeals </w:t>
      </w:r>
    </w:p>
    <w:p w:rsidR="00A66DB5" w:rsidRDefault="005C0318" w:rsidP="00A66DB5">
      <w:pPr>
        <w:pStyle w:val="NoSpacing"/>
      </w:pPr>
      <w:r>
        <w:t>Appeals can</w:t>
      </w:r>
      <w:r w:rsidR="00A66DB5" w:rsidRPr="00A66DB5">
        <w:t xml:space="preserve"> be made to the Pro Vice Chancellor, Research and Inn</w:t>
      </w:r>
      <w:r>
        <w:t xml:space="preserve">ovation. Applicants wishing to </w:t>
      </w:r>
      <w:r w:rsidR="00A66DB5" w:rsidRPr="00A66DB5">
        <w:t>appeal should contact the Head</w:t>
      </w:r>
      <w:r>
        <w:t xml:space="preserve"> of RKE</w:t>
      </w:r>
      <w:r w:rsidR="00A56AA6">
        <w:t>O</w:t>
      </w:r>
      <w:r>
        <w:t xml:space="preserve"> in the first instance. </w:t>
      </w:r>
    </w:p>
    <w:p w:rsidR="00584314" w:rsidRDefault="00584314" w:rsidP="00A66DB5">
      <w:pPr>
        <w:pStyle w:val="NoSpacing"/>
      </w:pPr>
    </w:p>
    <w:p w:rsidR="00584314" w:rsidRDefault="00584314" w:rsidP="00A66DB5">
      <w:pPr>
        <w:pStyle w:val="NoSpacing"/>
      </w:pPr>
    </w:p>
    <w:p w:rsidR="00584314" w:rsidRPr="00584314" w:rsidRDefault="00584314" w:rsidP="00A66DB5">
      <w:pPr>
        <w:pStyle w:val="NoSpacing"/>
        <w:rPr>
          <w:b/>
        </w:rPr>
      </w:pPr>
      <w:r w:rsidRPr="00584314">
        <w:rPr>
          <w:b/>
        </w:rPr>
        <w:t xml:space="preserve">Post award conditions </w:t>
      </w:r>
    </w:p>
    <w:p w:rsidR="00584314" w:rsidRPr="00A66DB5" w:rsidRDefault="00584314" w:rsidP="00A66DB5">
      <w:pPr>
        <w:pStyle w:val="NoSpacing"/>
      </w:pPr>
      <w:r>
        <w:t>It is a condition of the award that a co-authored paper is submitted for publicati</w:t>
      </w:r>
      <w:r w:rsidR="00D57DA1">
        <w:t>on within three months of the S</w:t>
      </w:r>
      <w:r>
        <w:t xml:space="preserve">RA position end date. </w:t>
      </w:r>
    </w:p>
    <w:sectPr w:rsidR="00584314" w:rsidRPr="00A66DB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B5" w:rsidRDefault="00A66DB5" w:rsidP="00A66DB5">
      <w:pPr>
        <w:spacing w:after="0" w:line="240" w:lineRule="auto"/>
      </w:pPr>
      <w:r>
        <w:separator/>
      </w:r>
    </w:p>
  </w:endnote>
  <w:endnote w:type="continuationSeparator" w:id="0">
    <w:p w:rsidR="00A66DB5" w:rsidRDefault="00A66DB5" w:rsidP="00A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B5" w:rsidRDefault="000D4D9B">
    <w:pPr>
      <w:pStyle w:val="Footer"/>
    </w:pPr>
    <w:r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B5" w:rsidRDefault="00A66DB5" w:rsidP="00A66DB5">
      <w:pPr>
        <w:spacing w:after="0" w:line="240" w:lineRule="auto"/>
      </w:pPr>
      <w:r>
        <w:separator/>
      </w:r>
    </w:p>
  </w:footnote>
  <w:footnote w:type="continuationSeparator" w:id="0">
    <w:p w:rsidR="00A66DB5" w:rsidRDefault="00A66DB5" w:rsidP="00A6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B5" w:rsidRDefault="00A66DB5">
    <w:pPr>
      <w:pStyle w:val="Header"/>
    </w:pPr>
  </w:p>
  <w:p w:rsidR="00A66DB5" w:rsidRDefault="00A66D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895"/>
    <w:multiLevelType w:val="hybridMultilevel"/>
    <w:tmpl w:val="8EACD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A59E2"/>
    <w:multiLevelType w:val="hybridMultilevel"/>
    <w:tmpl w:val="1B667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B963E3"/>
    <w:multiLevelType w:val="hybridMultilevel"/>
    <w:tmpl w:val="9A46132A"/>
    <w:lvl w:ilvl="0" w:tplc="0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E4E14"/>
    <w:multiLevelType w:val="hybridMultilevel"/>
    <w:tmpl w:val="2C80B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7167AA"/>
    <w:multiLevelType w:val="hybridMultilevel"/>
    <w:tmpl w:val="49EC3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2C447D"/>
    <w:multiLevelType w:val="hybridMultilevel"/>
    <w:tmpl w:val="5046FB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B5"/>
    <w:rsid w:val="000D4D9B"/>
    <w:rsid w:val="001973F4"/>
    <w:rsid w:val="002106A1"/>
    <w:rsid w:val="00267FDF"/>
    <w:rsid w:val="003115B7"/>
    <w:rsid w:val="003443AC"/>
    <w:rsid w:val="00584314"/>
    <w:rsid w:val="005C0318"/>
    <w:rsid w:val="00696148"/>
    <w:rsid w:val="006F37AF"/>
    <w:rsid w:val="007118D6"/>
    <w:rsid w:val="008A6442"/>
    <w:rsid w:val="009C2452"/>
    <w:rsid w:val="00A56AA6"/>
    <w:rsid w:val="00A66DB5"/>
    <w:rsid w:val="00CE21B6"/>
    <w:rsid w:val="00D57DA1"/>
    <w:rsid w:val="00D949E2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B5"/>
  </w:style>
  <w:style w:type="paragraph" w:styleId="Footer">
    <w:name w:val="footer"/>
    <w:basedOn w:val="Normal"/>
    <w:link w:val="FooterChar"/>
    <w:uiPriority w:val="99"/>
    <w:unhideWhenUsed/>
    <w:rsid w:val="00A6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B5"/>
  </w:style>
  <w:style w:type="table" w:styleId="TableGrid">
    <w:name w:val="Table Grid"/>
    <w:basedOn w:val="TableNormal"/>
    <w:uiPriority w:val="59"/>
    <w:rsid w:val="005C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A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DB5"/>
  </w:style>
  <w:style w:type="paragraph" w:styleId="Footer">
    <w:name w:val="footer"/>
    <w:basedOn w:val="Normal"/>
    <w:link w:val="FooterChar"/>
    <w:uiPriority w:val="99"/>
    <w:unhideWhenUsed/>
    <w:rsid w:val="00A6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DB5"/>
  </w:style>
  <w:style w:type="table" w:styleId="TableGrid">
    <w:name w:val="Table Grid"/>
    <w:basedOn w:val="TableNormal"/>
    <w:uiPriority w:val="59"/>
    <w:rsid w:val="005C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@bournemouth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Corrina Lailla,Osborne</dc:creator>
  <cp:lastModifiedBy>Charlene Parrish</cp:lastModifiedBy>
  <cp:revision>4</cp:revision>
  <dcterms:created xsi:type="dcterms:W3CDTF">2017-12-18T16:19:00Z</dcterms:created>
  <dcterms:modified xsi:type="dcterms:W3CDTF">2018-02-26T09:09:00Z</dcterms:modified>
</cp:coreProperties>
</file>