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82" w:rsidRPr="004A0682" w:rsidRDefault="004A0682" w:rsidP="004A0682">
      <w:pPr>
        <w:pStyle w:val="Heading3"/>
        <w:rPr>
          <w:u w:val="single"/>
        </w:rPr>
      </w:pPr>
      <w:r w:rsidRPr="004A0682">
        <w:rPr>
          <w:u w:val="single"/>
        </w:rPr>
        <w:t>From Guidance on Submission document:</w:t>
      </w:r>
    </w:p>
    <w:p w:rsidR="004A0682" w:rsidRPr="009B6055" w:rsidRDefault="004A0682" w:rsidP="004A0682">
      <w:pPr>
        <w:pStyle w:val="Heading3"/>
      </w:pPr>
      <w:r w:rsidRPr="009B6055">
        <w:t>Submission requirements for the unit-level environment template (REF5b)</w:t>
      </w:r>
    </w:p>
    <w:p w:rsidR="004A0682" w:rsidRPr="009B6055" w:rsidRDefault="004A0682" w:rsidP="004A0682">
      <w:pPr>
        <w:numPr>
          <w:ilvl w:val="0"/>
          <w:numId w:val="3"/>
        </w:numPr>
      </w:pPr>
      <w:bookmarkStart w:id="0" w:name="_Ref519713966"/>
      <w:r w:rsidRPr="009B6055">
        <w:rPr>
          <w:rFonts w:cs="Arial"/>
        </w:rPr>
        <w:t>Information is required about the environment for research and enabling impact for each submitting unit, relating to the period 1 August 2013 to 31 July 2020. A template for REF5b is provided in Annex I. Each submission must include a single completed REF5 form, consisting of the following sections:</w:t>
      </w:r>
      <w:bookmarkEnd w:id="0"/>
    </w:p>
    <w:p w:rsidR="004A0682" w:rsidRPr="009B6055" w:rsidRDefault="004A0682" w:rsidP="004A0682"/>
    <w:p w:rsidR="004A0682" w:rsidRPr="009B6055" w:rsidRDefault="004A0682" w:rsidP="004A0682">
      <w:pPr>
        <w:numPr>
          <w:ilvl w:val="1"/>
          <w:numId w:val="3"/>
        </w:numPr>
        <w:spacing w:after="120"/>
        <w:ind w:left="1134" w:hanging="567"/>
        <w:rPr>
          <w:rFonts w:cs="Arial"/>
          <w:szCs w:val="21"/>
        </w:rPr>
      </w:pPr>
      <w:r w:rsidRPr="009B6055">
        <w:rPr>
          <w:rFonts w:cs="Arial"/>
          <w:szCs w:val="21"/>
        </w:rPr>
        <w:t>Unit context, research and impact strategy.</w:t>
      </w:r>
    </w:p>
    <w:p w:rsidR="004A0682" w:rsidRPr="009B6055" w:rsidRDefault="004A0682" w:rsidP="004A0682">
      <w:pPr>
        <w:numPr>
          <w:ilvl w:val="1"/>
          <w:numId w:val="3"/>
        </w:numPr>
        <w:spacing w:after="120"/>
        <w:ind w:left="1134" w:hanging="567"/>
        <w:rPr>
          <w:rFonts w:cs="Arial"/>
          <w:szCs w:val="21"/>
        </w:rPr>
      </w:pPr>
      <w:r w:rsidRPr="009B6055">
        <w:rPr>
          <w:rFonts w:cs="Arial"/>
          <w:szCs w:val="21"/>
        </w:rPr>
        <w:t xml:space="preserve">People, including: </w:t>
      </w:r>
    </w:p>
    <w:p w:rsidR="004A0682" w:rsidRPr="009B6055" w:rsidRDefault="004A0682" w:rsidP="004A0682">
      <w:pPr>
        <w:numPr>
          <w:ilvl w:val="2"/>
          <w:numId w:val="2"/>
        </w:numPr>
        <w:spacing w:after="120"/>
        <w:ind w:left="1701" w:hanging="567"/>
        <w:rPr>
          <w:rFonts w:cs="Arial"/>
          <w:szCs w:val="21"/>
        </w:rPr>
      </w:pPr>
      <w:r w:rsidRPr="009B6055">
        <w:rPr>
          <w:rFonts w:cs="Arial"/>
          <w:szCs w:val="21"/>
        </w:rPr>
        <w:t>staffing strategy and staff development</w:t>
      </w:r>
    </w:p>
    <w:p w:rsidR="004A0682" w:rsidRPr="009B6055" w:rsidRDefault="004A0682" w:rsidP="004A0682">
      <w:pPr>
        <w:numPr>
          <w:ilvl w:val="2"/>
          <w:numId w:val="2"/>
        </w:numPr>
        <w:spacing w:after="120"/>
        <w:ind w:left="1701" w:hanging="567"/>
        <w:rPr>
          <w:rFonts w:cs="Arial"/>
          <w:szCs w:val="21"/>
        </w:rPr>
      </w:pPr>
      <w:r w:rsidRPr="009B6055">
        <w:rPr>
          <w:rFonts w:cs="Arial"/>
          <w:szCs w:val="21"/>
        </w:rPr>
        <w:t>research students</w:t>
      </w:r>
    </w:p>
    <w:p w:rsidR="004A0682" w:rsidRPr="009B6055" w:rsidRDefault="004A0682" w:rsidP="004A0682">
      <w:pPr>
        <w:numPr>
          <w:ilvl w:val="2"/>
          <w:numId w:val="2"/>
        </w:numPr>
        <w:spacing w:after="120"/>
        <w:ind w:left="1701" w:hanging="567"/>
        <w:rPr>
          <w:rFonts w:cs="Arial"/>
          <w:szCs w:val="21"/>
        </w:rPr>
      </w:pPr>
      <w:proofErr w:type="gramStart"/>
      <w:r w:rsidRPr="009B6055">
        <w:rPr>
          <w:rFonts w:cs="Arial"/>
          <w:szCs w:val="21"/>
        </w:rPr>
        <w:t>equality</w:t>
      </w:r>
      <w:proofErr w:type="gramEnd"/>
      <w:r w:rsidRPr="009B6055">
        <w:rPr>
          <w:rFonts w:cs="Arial"/>
          <w:szCs w:val="21"/>
        </w:rPr>
        <w:t xml:space="preserve"> and diversity. </w:t>
      </w:r>
    </w:p>
    <w:p w:rsidR="004A0682" w:rsidRPr="009B6055" w:rsidRDefault="004A0682" w:rsidP="004A0682">
      <w:pPr>
        <w:numPr>
          <w:ilvl w:val="1"/>
          <w:numId w:val="3"/>
        </w:numPr>
        <w:spacing w:after="120"/>
        <w:ind w:left="1134" w:hanging="567"/>
        <w:rPr>
          <w:rFonts w:cs="Arial"/>
          <w:bCs/>
          <w:szCs w:val="21"/>
        </w:rPr>
      </w:pPr>
      <w:r w:rsidRPr="009B6055">
        <w:rPr>
          <w:rFonts w:cs="Arial"/>
          <w:bCs/>
          <w:szCs w:val="21"/>
        </w:rPr>
        <w:t>Income, infrastructure and facilities.</w:t>
      </w:r>
      <w:r w:rsidRPr="009B6055">
        <w:t xml:space="preserve"> </w:t>
      </w:r>
    </w:p>
    <w:p w:rsidR="004A0682" w:rsidRPr="009B6055" w:rsidRDefault="004A0682" w:rsidP="004A0682">
      <w:pPr>
        <w:numPr>
          <w:ilvl w:val="1"/>
          <w:numId w:val="3"/>
        </w:numPr>
        <w:spacing w:after="120"/>
        <w:ind w:left="1134" w:hanging="567"/>
      </w:pPr>
      <w:r w:rsidRPr="009B6055">
        <w:rPr>
          <w:rFonts w:cs="Arial"/>
          <w:bCs/>
          <w:szCs w:val="21"/>
        </w:rPr>
        <w:t>Collaboration and contribution to the research base, economy and society.</w:t>
      </w:r>
      <w:r w:rsidRPr="009B6055" w:rsidDel="00EB2218">
        <w:rPr>
          <w:rFonts w:cs="Arial"/>
          <w:bCs/>
          <w:szCs w:val="21"/>
        </w:rPr>
        <w:t xml:space="preserve"> </w:t>
      </w:r>
    </w:p>
    <w:p w:rsidR="004A0682" w:rsidRPr="009B6055" w:rsidRDefault="004A0682" w:rsidP="004A0682">
      <w:pPr>
        <w:ind w:left="567"/>
      </w:pPr>
      <w:r w:rsidRPr="009B6055" w:rsidDel="00D01DC6">
        <w:rPr>
          <w:rFonts w:cs="Arial"/>
          <w:bCs/>
          <w:szCs w:val="21"/>
        </w:rPr>
        <w:t xml:space="preserve"> </w:t>
      </w:r>
    </w:p>
    <w:p w:rsidR="004A0682" w:rsidRPr="009B6055" w:rsidRDefault="004A0682" w:rsidP="004A0682">
      <w:pPr>
        <w:numPr>
          <w:ilvl w:val="0"/>
          <w:numId w:val="3"/>
        </w:numPr>
      </w:pPr>
      <w:r w:rsidRPr="009B6055">
        <w:t>The information provided in REF5b should relate to the environment of the submitted unit, and should not duplicate information about the institutional-level environment that is provided in REF5a.</w:t>
      </w:r>
    </w:p>
    <w:p w:rsidR="004A0682" w:rsidRPr="009B6055" w:rsidRDefault="004A0682" w:rsidP="004A0682">
      <w:r w:rsidRPr="009B6055">
        <w:t xml:space="preserve"> </w:t>
      </w:r>
    </w:p>
    <w:p w:rsidR="004A0682" w:rsidRPr="009B6055" w:rsidRDefault="004A0682" w:rsidP="004A0682">
      <w:pPr>
        <w:numPr>
          <w:ilvl w:val="0"/>
          <w:numId w:val="3"/>
        </w:numPr>
      </w:pPr>
      <w:r w:rsidRPr="009B6055">
        <w:t xml:space="preserve">Where a submission includes staff from distinct ‘departments’ or other organisational units, the submission should explain this and any distinctive aspects of the research environments of these organisational units, within each section of the environment template. There is no expectation that the environment element of a submission will relate to a single department or coherent organisational unit. </w:t>
      </w:r>
    </w:p>
    <w:p w:rsidR="004A0682" w:rsidRPr="009B6055" w:rsidRDefault="004A0682" w:rsidP="004A0682"/>
    <w:p w:rsidR="004A0682" w:rsidRPr="009B6055" w:rsidRDefault="004A0682" w:rsidP="004A0682">
      <w:pPr>
        <w:numPr>
          <w:ilvl w:val="0"/>
          <w:numId w:val="3"/>
        </w:numPr>
        <w:rPr>
          <w:rFonts w:cs="Arial"/>
        </w:rPr>
      </w:pPr>
      <w:r w:rsidRPr="009B6055">
        <w:t xml:space="preserve">In providing evidence in the REF5b template, institutions should draw on supporting quantitative indicators where applicable. </w:t>
      </w:r>
      <w:r w:rsidRPr="009B6055">
        <w:rPr>
          <w:rFonts w:cs="Arial"/>
        </w:rPr>
        <w:t xml:space="preserve">Detailed guidance on the requirements for the content of REF5b is provided in the ‘Panel criteria’ (Part 2, Section 4). This includes guidance on the use of quantitative indicators in REF5b, </w:t>
      </w:r>
      <w:r w:rsidRPr="009B6055">
        <w:t xml:space="preserve">with reference to advice and examples based on the work of the Forum for Responsible Research Metrics. </w:t>
      </w:r>
    </w:p>
    <w:p w:rsidR="004A0682" w:rsidRPr="009B6055" w:rsidRDefault="004A0682" w:rsidP="004A0682">
      <w:pPr>
        <w:pStyle w:val="ListParagraph"/>
        <w:rPr>
          <w:rFonts w:cs="Arial"/>
        </w:rPr>
      </w:pPr>
    </w:p>
    <w:p w:rsidR="004A0682" w:rsidRPr="009B6055" w:rsidRDefault="004A0682" w:rsidP="004A0682">
      <w:pPr>
        <w:numPr>
          <w:ilvl w:val="0"/>
          <w:numId w:val="3"/>
        </w:numPr>
        <w:rPr>
          <w:rFonts w:cs="Arial"/>
        </w:rPr>
      </w:pPr>
      <w:r w:rsidRPr="009B6055">
        <w:rPr>
          <w:rFonts w:cs="Arial"/>
        </w:rPr>
        <w:t>Institutions may include URLs in REF5b, only for the purpose of verifying or corroborating claims made in the submission. Panels will not follow URLs to access additional evidence or information to supplement the submission.</w:t>
      </w:r>
      <w:r w:rsidRPr="009B6055" w:rsidDel="00DE41A8">
        <w:rPr>
          <w:rFonts w:cs="Arial"/>
        </w:rPr>
        <w:t xml:space="preserve"> </w:t>
      </w:r>
    </w:p>
    <w:p w:rsidR="004A0682" w:rsidRPr="009B6055" w:rsidRDefault="004A0682" w:rsidP="004A0682">
      <w:pPr>
        <w:ind w:left="1134"/>
        <w:rPr>
          <w:rFonts w:cs="Arial"/>
        </w:rPr>
      </w:pPr>
    </w:p>
    <w:p w:rsidR="004A0682" w:rsidRPr="009B6055" w:rsidRDefault="004A0682" w:rsidP="004A0682">
      <w:pPr>
        <w:numPr>
          <w:ilvl w:val="0"/>
          <w:numId w:val="3"/>
        </w:numPr>
        <w:rPr>
          <w:rFonts w:cs="Arial"/>
        </w:rPr>
      </w:pPr>
      <w:r w:rsidRPr="009B6055">
        <w:rPr>
          <w:rFonts w:cs="Arial"/>
        </w:rPr>
        <w:t xml:space="preserve">The ‘Panel criteria’ describes how the sub-panels will use the information in form REF5b together with the data in forms REF4a/b/c in assessing the submissions to form the environment sub-profiles. Each section of the environment template will be significant in informing the environment sub-profile. The main panels </w:t>
      </w:r>
      <w:r>
        <w:rPr>
          <w:rFonts w:cs="Arial"/>
        </w:rPr>
        <w:t>have</w:t>
      </w:r>
      <w:r w:rsidRPr="009B6055">
        <w:rPr>
          <w:rFonts w:cs="Arial"/>
        </w:rPr>
        <w:t xml:space="preserve"> set out the weighting that will be given in the assessment to each section of the template in the </w:t>
      </w:r>
      <w:r>
        <w:rPr>
          <w:rFonts w:cs="Arial"/>
        </w:rPr>
        <w:t>‘P</w:t>
      </w:r>
      <w:r w:rsidRPr="009B6055">
        <w:rPr>
          <w:rFonts w:cs="Arial"/>
        </w:rPr>
        <w:t>anel criteria</w:t>
      </w:r>
      <w:r>
        <w:rPr>
          <w:rFonts w:cs="Arial"/>
        </w:rPr>
        <w:t>’</w:t>
      </w:r>
      <w:r w:rsidRPr="009B6055">
        <w:rPr>
          <w:rFonts w:cs="Arial"/>
        </w:rPr>
        <w:t xml:space="preserve">. </w:t>
      </w:r>
    </w:p>
    <w:p w:rsidR="004A0682" w:rsidRPr="009B6055" w:rsidRDefault="004A0682" w:rsidP="004A0682">
      <w:pPr>
        <w:rPr>
          <w:rFonts w:cs="Arial"/>
        </w:rPr>
      </w:pPr>
    </w:p>
    <w:p w:rsidR="004A0682" w:rsidRPr="009B6055" w:rsidRDefault="004A0682" w:rsidP="004A0682">
      <w:pPr>
        <w:numPr>
          <w:ilvl w:val="0"/>
          <w:numId w:val="3"/>
        </w:numPr>
        <w:rPr>
          <w:rFonts w:cs="Arial"/>
        </w:rPr>
      </w:pPr>
      <w:r w:rsidRPr="009B6055">
        <w:rPr>
          <w:rFonts w:cs="Arial"/>
          <w:szCs w:val="21"/>
        </w:rPr>
        <w:lastRenderedPageBreak/>
        <w:t>To inform the sub-panels’ assessment of the ‘People’ section of the unit-level environment template (REF5b), EDAP will provide advice on overall strengths or areas of concern, on the basis of the generic assessment criteria and procedures. Each sub-panel will retain responsibility for recommending the quality profile for all work that was submitted in its UOA. EDAP will carry out a calibration exercise at an early stage in the assessment to develop a common understanding of the assessment criteria and standards.</w:t>
      </w:r>
    </w:p>
    <w:p w:rsidR="004A0682" w:rsidRPr="009B6055" w:rsidRDefault="004A0682" w:rsidP="004A0682"/>
    <w:p w:rsidR="004A0682" w:rsidRPr="009B6055" w:rsidRDefault="004A0682" w:rsidP="004A0682">
      <w:pPr>
        <w:numPr>
          <w:ilvl w:val="0"/>
          <w:numId w:val="3"/>
        </w:numPr>
        <w:rPr>
          <w:rFonts w:cs="Arial"/>
        </w:rPr>
      </w:pPr>
      <w:r w:rsidRPr="009B6055">
        <w:rPr>
          <w:rFonts w:cs="Arial"/>
          <w:szCs w:val="21"/>
        </w:rPr>
        <w:t>Completed environment templates must be submitted according to the guidance on formatting and word limits, set out in Annex F.</w:t>
      </w:r>
    </w:p>
    <w:p w:rsidR="004A0682" w:rsidRPr="009B6055" w:rsidRDefault="004A0682" w:rsidP="004A0682">
      <w:pPr>
        <w:rPr>
          <w:rFonts w:cs="Arial"/>
          <w:szCs w:val="21"/>
        </w:rPr>
      </w:pPr>
    </w:p>
    <w:p w:rsidR="004A0682" w:rsidRPr="009B6055" w:rsidRDefault="004A0682" w:rsidP="004A0682">
      <w:pPr>
        <w:pStyle w:val="Heading4"/>
      </w:pPr>
      <w:r w:rsidRPr="009B6055">
        <w:t>Category C staff</w:t>
      </w:r>
    </w:p>
    <w:p w:rsidR="004A0682" w:rsidRPr="009B6055" w:rsidRDefault="004A0682" w:rsidP="004A0682">
      <w:pPr>
        <w:numPr>
          <w:ilvl w:val="0"/>
          <w:numId w:val="3"/>
        </w:numPr>
        <w:rPr>
          <w:rStyle w:val="Heading4Char"/>
          <w:b w:val="0"/>
          <w:bCs w:val="0"/>
        </w:rPr>
      </w:pPr>
      <w:bookmarkStart w:id="1" w:name="_Ref535914375"/>
      <w:r w:rsidRPr="00C82A65">
        <w:rPr>
          <w:rFonts w:cs="Arial"/>
          <w:szCs w:val="21"/>
        </w:rPr>
        <w:t xml:space="preserve">Information about the contribution of </w:t>
      </w:r>
      <w:r w:rsidRPr="009B6055">
        <w:rPr>
          <w:szCs w:val="21"/>
        </w:rPr>
        <w:t xml:space="preserve">Category C </w:t>
      </w:r>
      <w:r w:rsidRPr="009B6055">
        <w:rPr>
          <w:rStyle w:val="Heading4Char"/>
        </w:rPr>
        <w:t>staff to the environment for research and enabling impact may be provided in the ‘Collaboration and contribution’ section of the REF5b template. The ‘Panel criteria’ sets out further guidance on which panels expect to receive this information and the nature of the information requested.</w:t>
      </w:r>
      <w:bookmarkEnd w:id="1"/>
      <w:r w:rsidRPr="009B6055">
        <w:rPr>
          <w:rStyle w:val="Heading4Char"/>
        </w:rPr>
        <w:t xml:space="preserve"> </w:t>
      </w:r>
    </w:p>
    <w:p w:rsidR="004A0682" w:rsidRPr="00C82A65" w:rsidRDefault="004A0682" w:rsidP="004A0682">
      <w:pPr>
        <w:pStyle w:val="ListParagraph"/>
        <w:rPr>
          <w:rStyle w:val="Heading4Char"/>
          <w:b w:val="0"/>
        </w:rPr>
      </w:pPr>
    </w:p>
    <w:p w:rsidR="004A0682" w:rsidRPr="009B6055" w:rsidRDefault="004A0682" w:rsidP="004A0682">
      <w:pPr>
        <w:numPr>
          <w:ilvl w:val="0"/>
          <w:numId w:val="3"/>
        </w:numPr>
        <w:rPr>
          <w:rFonts w:cs="Arial"/>
          <w:b/>
          <w:szCs w:val="21"/>
        </w:rPr>
      </w:pPr>
      <w:bookmarkStart w:id="2" w:name="_Ref535919173"/>
      <w:r w:rsidRPr="009B6055">
        <w:rPr>
          <w:rStyle w:val="Heading4Char"/>
        </w:rPr>
        <w:t xml:space="preserve">Category C </w:t>
      </w:r>
      <w:proofErr w:type="gramStart"/>
      <w:r w:rsidRPr="009B6055">
        <w:rPr>
          <w:rStyle w:val="Heading4Char"/>
        </w:rPr>
        <w:t>staff are</w:t>
      </w:r>
      <w:proofErr w:type="gramEnd"/>
      <w:r w:rsidRPr="009B6055">
        <w:rPr>
          <w:rStyle w:val="Heading4Char"/>
        </w:rPr>
        <w:t xml:space="preserve"> defined as individuals employed by an organisation other than an HEI, whose contract or job role (as documented by their employer) includes the undertaking of research, and whose research is primarily focused in the submitting unit.</w:t>
      </w:r>
      <w:bookmarkEnd w:id="2"/>
      <w:r w:rsidRPr="009B6055">
        <w:rPr>
          <w:b/>
          <w:szCs w:val="21"/>
        </w:rPr>
        <w:t xml:space="preserve"> </w:t>
      </w:r>
    </w:p>
    <w:p w:rsidR="004A0682" w:rsidRPr="009B6055" w:rsidRDefault="004A0682" w:rsidP="004A0682">
      <w:pPr>
        <w:rPr>
          <w:rFonts w:cs="Arial"/>
        </w:rPr>
      </w:pPr>
    </w:p>
    <w:p w:rsidR="004A0682" w:rsidRPr="009B6055" w:rsidRDefault="004A0682" w:rsidP="004A0682">
      <w:pPr>
        <w:numPr>
          <w:ilvl w:val="0"/>
          <w:numId w:val="3"/>
        </w:numPr>
        <w:rPr>
          <w:rFonts w:cs="Arial"/>
        </w:rPr>
      </w:pPr>
      <w:bookmarkStart w:id="3" w:name="_Ref535914383"/>
      <w:r w:rsidRPr="009B6055">
        <w:rPr>
          <w:szCs w:val="21"/>
        </w:rPr>
        <w:t>Category C staff may be employed by the NHS, a Research Council unit, a charity or other organisation except for an HEI.</w:t>
      </w:r>
      <w:r w:rsidRPr="009B6055">
        <w:rPr>
          <w:rFonts w:cs="Arial"/>
        </w:rPr>
        <w:t xml:space="preserve"> </w:t>
      </w:r>
      <w:r w:rsidRPr="009B6055">
        <w:rPr>
          <w:szCs w:val="21"/>
        </w:rPr>
        <w:t>For clarity, t</w:t>
      </w:r>
      <w:r w:rsidRPr="009B6055">
        <w:rPr>
          <w:rFonts w:cs="Arial"/>
        </w:rPr>
        <w:t xml:space="preserve">he following do </w:t>
      </w:r>
      <w:r w:rsidRPr="009B6055">
        <w:rPr>
          <w:rFonts w:cs="Arial"/>
          <w:b/>
        </w:rPr>
        <w:t>not</w:t>
      </w:r>
      <w:r w:rsidRPr="009B6055">
        <w:rPr>
          <w:rFonts w:cs="Arial"/>
        </w:rPr>
        <w:t xml:space="preserve"> meet the definition of Category C staff:</w:t>
      </w:r>
      <w:bookmarkEnd w:id="3"/>
    </w:p>
    <w:p w:rsidR="004A0682" w:rsidRPr="009B6055" w:rsidRDefault="004A0682" w:rsidP="004A0682">
      <w:pPr>
        <w:rPr>
          <w:rFonts w:cs="Arial"/>
        </w:rPr>
      </w:pPr>
    </w:p>
    <w:p w:rsidR="004A0682" w:rsidRPr="00573E96" w:rsidRDefault="004A0682" w:rsidP="004A0682">
      <w:pPr>
        <w:numPr>
          <w:ilvl w:val="1"/>
          <w:numId w:val="1"/>
        </w:numPr>
        <w:ind w:left="1134" w:hanging="567"/>
        <w:rPr>
          <w:rFonts w:cs="Arial"/>
        </w:rPr>
      </w:pPr>
      <w:r w:rsidRPr="009B6055">
        <w:rPr>
          <w:rFonts w:cs="Arial"/>
        </w:rPr>
        <w:t xml:space="preserve">Any staff employed by the HEI, including vice-chancellors or heads of HEIs; HEI staff on non-academic contracts, including those working in university museums and libraries; or retired staff who are still active in research (where they satisfy the definition in paragraph </w:t>
      </w:r>
      <w:r w:rsidRPr="00C45E93">
        <w:rPr>
          <w:rFonts w:cs="Arial"/>
        </w:rPr>
        <w:fldChar w:fldCharType="begin"/>
      </w:r>
      <w:r w:rsidRPr="009B6055">
        <w:rPr>
          <w:rFonts w:cs="Arial"/>
        </w:rPr>
        <w:instrText xml:space="preserve"> REF _Ref515461419 \r \h  \* MERGEFORMAT </w:instrText>
      </w:r>
      <w:r w:rsidRPr="00C45E93">
        <w:rPr>
          <w:rFonts w:cs="Arial"/>
        </w:rPr>
      </w:r>
      <w:r w:rsidRPr="00C45E93">
        <w:rPr>
          <w:rFonts w:cs="Arial"/>
        </w:rPr>
        <w:fldChar w:fldCharType="separate"/>
      </w:r>
      <w:r>
        <w:rPr>
          <w:rFonts w:cs="Arial"/>
        </w:rPr>
        <w:t>120</w:t>
      </w:r>
      <w:r w:rsidRPr="00C45E93">
        <w:rPr>
          <w:rFonts w:cs="Arial"/>
        </w:rPr>
        <w:fldChar w:fldCharType="end"/>
      </w:r>
      <w:r w:rsidRPr="009B6055">
        <w:rPr>
          <w:rFonts w:cs="Arial"/>
        </w:rPr>
        <w:t>.</w:t>
      </w:r>
      <w:r w:rsidRPr="00C45E93">
        <w:rPr>
          <w:rFonts w:cs="Arial"/>
        </w:rPr>
        <w:fldChar w:fldCharType="begin"/>
      </w:r>
      <w:r w:rsidRPr="009B6055">
        <w:rPr>
          <w:rFonts w:cs="Arial"/>
        </w:rPr>
        <w:instrText xml:space="preserve"> REF _Ref297209093 \r \h  \* MERGEFORMAT </w:instrText>
      </w:r>
      <w:r w:rsidRPr="00C45E93">
        <w:rPr>
          <w:rFonts w:cs="Arial"/>
        </w:rPr>
      </w:r>
      <w:r w:rsidRPr="00C45E93">
        <w:rPr>
          <w:rFonts w:cs="Arial"/>
        </w:rPr>
        <w:fldChar w:fldCharType="separate"/>
      </w:r>
      <w:proofErr w:type="gramStart"/>
      <w:r>
        <w:rPr>
          <w:rFonts w:cs="Arial"/>
        </w:rPr>
        <w:t>h</w:t>
      </w:r>
      <w:proofErr w:type="gramEnd"/>
      <w:r w:rsidRPr="00C45E93">
        <w:rPr>
          <w:rFonts w:cs="Arial"/>
        </w:rPr>
        <w:fldChar w:fldCharType="end"/>
      </w:r>
      <w:r w:rsidRPr="009B6055">
        <w:rPr>
          <w:rFonts w:cs="Arial"/>
        </w:rPr>
        <w:t xml:space="preserve"> or, for retired staff,</w:t>
      </w:r>
      <w:r w:rsidRPr="00C45E93">
        <w:rPr>
          <w:rFonts w:cs="Arial"/>
        </w:rPr>
        <w:t xml:space="preserve"> paragraph</w:t>
      </w:r>
      <w:r w:rsidRPr="001F1F6C">
        <w:rPr>
          <w:rFonts w:cs="Arial"/>
        </w:rPr>
        <w:t xml:space="preserve"> </w:t>
      </w:r>
      <w:r w:rsidRPr="00C45E93">
        <w:rPr>
          <w:rFonts w:cs="Arial"/>
        </w:rPr>
        <w:fldChar w:fldCharType="begin"/>
      </w:r>
      <w:r w:rsidRPr="009B6055">
        <w:rPr>
          <w:rFonts w:cs="Arial"/>
        </w:rPr>
        <w:instrText xml:space="preserve"> REF _Ref515461419 \r \h  \* MERGEFORMAT </w:instrText>
      </w:r>
      <w:r w:rsidRPr="00C45E93">
        <w:rPr>
          <w:rFonts w:cs="Arial"/>
        </w:rPr>
      </w:r>
      <w:r w:rsidRPr="00C45E93">
        <w:rPr>
          <w:rFonts w:cs="Arial"/>
        </w:rPr>
        <w:fldChar w:fldCharType="separate"/>
      </w:r>
      <w:r>
        <w:rPr>
          <w:rFonts w:cs="Arial"/>
        </w:rPr>
        <w:t>120</w:t>
      </w:r>
      <w:r w:rsidRPr="00C45E93">
        <w:rPr>
          <w:rFonts w:cs="Arial"/>
        </w:rPr>
        <w:fldChar w:fldCharType="end"/>
      </w:r>
      <w:r w:rsidRPr="009B6055">
        <w:rPr>
          <w:rFonts w:cs="Arial"/>
        </w:rPr>
        <w:t>.</w:t>
      </w:r>
      <w:r w:rsidRPr="00C45E93">
        <w:rPr>
          <w:rFonts w:cs="Arial"/>
        </w:rPr>
        <w:fldChar w:fldCharType="begin"/>
      </w:r>
      <w:r w:rsidRPr="009B6055">
        <w:rPr>
          <w:rFonts w:cs="Arial"/>
        </w:rPr>
        <w:instrText xml:space="preserve"> REF _Ref519256178 \r \h  \* MERGEFORMAT </w:instrText>
      </w:r>
      <w:r w:rsidRPr="00C45E93">
        <w:rPr>
          <w:rFonts w:cs="Arial"/>
        </w:rPr>
      </w:r>
      <w:r w:rsidRPr="00C45E93">
        <w:rPr>
          <w:rFonts w:cs="Arial"/>
        </w:rPr>
        <w:fldChar w:fldCharType="separate"/>
      </w:r>
      <w:proofErr w:type="gramStart"/>
      <w:r>
        <w:rPr>
          <w:rFonts w:cs="Arial"/>
        </w:rPr>
        <w:t>b</w:t>
      </w:r>
      <w:proofErr w:type="gramEnd"/>
      <w:r w:rsidRPr="00C45E93">
        <w:rPr>
          <w:rFonts w:cs="Arial"/>
        </w:rPr>
        <w:fldChar w:fldCharType="end"/>
      </w:r>
      <w:r w:rsidRPr="009B6055">
        <w:rPr>
          <w:rFonts w:cs="Arial"/>
        </w:rPr>
        <w:t xml:space="preserve">, these staff </w:t>
      </w:r>
      <w:r w:rsidRPr="00C45E93">
        <w:rPr>
          <w:rFonts w:cs="Arial"/>
        </w:rPr>
        <w:t>meet t</w:t>
      </w:r>
      <w:r w:rsidRPr="001F1F6C">
        <w:rPr>
          <w:rFonts w:cs="Arial"/>
        </w:rPr>
        <w:t xml:space="preserve">he definition of Category A </w:t>
      </w:r>
      <w:r w:rsidRPr="00477BC1">
        <w:rPr>
          <w:rFonts w:cs="Arial"/>
        </w:rPr>
        <w:t xml:space="preserve">eligible </w:t>
      </w:r>
      <w:r w:rsidRPr="000173EF">
        <w:rPr>
          <w:rFonts w:cs="Arial"/>
        </w:rPr>
        <w:t>staff)</w:t>
      </w:r>
      <w:r w:rsidRPr="00573E96">
        <w:rPr>
          <w:rFonts w:cs="Arial"/>
        </w:rPr>
        <w:t>.</w:t>
      </w:r>
    </w:p>
    <w:p w:rsidR="004A0682" w:rsidRPr="00573E96" w:rsidRDefault="004A0682" w:rsidP="004A0682">
      <w:pPr>
        <w:ind w:left="1134"/>
        <w:rPr>
          <w:rFonts w:cs="Arial"/>
        </w:rPr>
      </w:pPr>
    </w:p>
    <w:p w:rsidR="004A0682" w:rsidRPr="00E33D93" w:rsidRDefault="004A0682" w:rsidP="004A0682">
      <w:pPr>
        <w:numPr>
          <w:ilvl w:val="1"/>
          <w:numId w:val="1"/>
        </w:numPr>
        <w:ind w:left="1134" w:hanging="567"/>
        <w:rPr>
          <w:rFonts w:cs="Arial"/>
        </w:rPr>
      </w:pPr>
      <w:r w:rsidRPr="00E33D93">
        <w:rPr>
          <w:rFonts w:cs="Arial"/>
        </w:rPr>
        <w:t>Visiting professors, fellows and lecturers employed by other HEIs.</w:t>
      </w:r>
      <w:r w:rsidRPr="00E33D93" w:rsidDel="00F22F01">
        <w:rPr>
          <w:rFonts w:cs="Arial"/>
        </w:rPr>
        <w:t xml:space="preserve"> </w:t>
      </w:r>
    </w:p>
    <w:p w:rsidR="004A0682" w:rsidRPr="00650BBA" w:rsidRDefault="004A0682" w:rsidP="004A0682">
      <w:pPr>
        <w:rPr>
          <w:rFonts w:cs="Arial"/>
        </w:rPr>
      </w:pPr>
    </w:p>
    <w:p w:rsidR="00F60481" w:rsidRPr="009B6055" w:rsidRDefault="00F60481" w:rsidP="00F60481">
      <w:pPr>
        <w:pStyle w:val="Heading1"/>
      </w:pPr>
      <w:bookmarkStart w:id="4" w:name="_Toc535921804"/>
      <w:r w:rsidRPr="009B6055">
        <w:t>Annex F: Format and page limits for textual parts of submissions</w:t>
      </w:r>
      <w:bookmarkEnd w:id="4"/>
    </w:p>
    <w:p w:rsidR="00F60481" w:rsidRPr="009B6055" w:rsidRDefault="00F60481" w:rsidP="00F60481">
      <w:pPr>
        <w:pStyle w:val="Heading3"/>
      </w:pPr>
      <w:r w:rsidRPr="009B6055">
        <w:t>Format</w:t>
      </w:r>
    </w:p>
    <w:p w:rsidR="00F60481" w:rsidRPr="009B6055" w:rsidRDefault="00F60481" w:rsidP="00F60481">
      <w:pPr>
        <w:numPr>
          <w:ilvl w:val="0"/>
          <w:numId w:val="6"/>
        </w:numPr>
        <w:rPr>
          <w:rFonts w:cs="Arial"/>
        </w:rPr>
      </w:pPr>
      <w:r w:rsidRPr="009B6055">
        <w:rPr>
          <w:rFonts w:cs="Arial"/>
        </w:rPr>
        <w:t>Templates for REF3, REF5a and REF5b will be provided to institutions in Word. Completed templates and case studies must be submitted as PDF documents for the assessment. A Word version of the templates and case studies will also be required. PDF documents must be accessible to screen reading technology (rather than scanned documents). Completed templates must adhere to the following:</w:t>
      </w:r>
    </w:p>
    <w:p w:rsidR="00F60481" w:rsidRPr="009B6055" w:rsidRDefault="00F60481" w:rsidP="00F60481">
      <w:pPr>
        <w:rPr>
          <w:rFonts w:cs="Arial"/>
        </w:rPr>
      </w:pPr>
    </w:p>
    <w:p w:rsidR="00F60481" w:rsidRPr="009B6055" w:rsidRDefault="00F60481" w:rsidP="00F60481">
      <w:pPr>
        <w:numPr>
          <w:ilvl w:val="0"/>
          <w:numId w:val="7"/>
        </w:numPr>
        <w:spacing w:after="120"/>
        <w:ind w:left="714" w:hanging="357"/>
        <w:rPr>
          <w:rFonts w:cs="Arial"/>
        </w:rPr>
      </w:pPr>
      <w:r w:rsidRPr="009B6055">
        <w:rPr>
          <w:rFonts w:cs="Arial"/>
        </w:rPr>
        <w:t>Arial font, 11 point (minimum)</w:t>
      </w:r>
    </w:p>
    <w:p w:rsidR="00F60481" w:rsidRPr="009B6055" w:rsidRDefault="00F60481" w:rsidP="00F60481">
      <w:pPr>
        <w:numPr>
          <w:ilvl w:val="0"/>
          <w:numId w:val="7"/>
        </w:numPr>
        <w:spacing w:after="120"/>
        <w:ind w:left="714" w:hanging="357"/>
        <w:rPr>
          <w:rFonts w:cs="Arial"/>
        </w:rPr>
      </w:pPr>
      <w:r w:rsidRPr="009B6055">
        <w:rPr>
          <w:rFonts w:cs="Arial"/>
        </w:rPr>
        <w:t>single line spacing (minimum)</w:t>
      </w:r>
    </w:p>
    <w:p w:rsidR="00F60481" w:rsidRPr="009B6055" w:rsidRDefault="00F60481" w:rsidP="00F60481">
      <w:pPr>
        <w:numPr>
          <w:ilvl w:val="0"/>
          <w:numId w:val="7"/>
        </w:numPr>
        <w:spacing w:after="120"/>
        <w:ind w:left="714" w:hanging="357"/>
        <w:rPr>
          <w:rFonts w:cs="Arial"/>
        </w:rPr>
      </w:pPr>
      <w:r w:rsidRPr="009B6055">
        <w:rPr>
          <w:rFonts w:cs="Arial"/>
        </w:rPr>
        <w:t xml:space="preserve">2 cm margins (minimum). </w:t>
      </w:r>
    </w:p>
    <w:p w:rsidR="00F60481" w:rsidRPr="009B6055" w:rsidRDefault="00F60481" w:rsidP="00F60481">
      <w:pPr>
        <w:rPr>
          <w:szCs w:val="21"/>
        </w:rPr>
      </w:pPr>
    </w:p>
    <w:p w:rsidR="00F60481" w:rsidRPr="009B6055" w:rsidRDefault="00F60481" w:rsidP="00F60481">
      <w:pPr>
        <w:numPr>
          <w:ilvl w:val="0"/>
          <w:numId w:val="6"/>
        </w:numPr>
        <w:rPr>
          <w:szCs w:val="21"/>
        </w:rPr>
      </w:pPr>
      <w:r w:rsidRPr="009B6055">
        <w:rPr>
          <w:szCs w:val="21"/>
        </w:rPr>
        <w:t xml:space="preserve">Completed templates may include formatting (bold or underlined text, headings, lists, and so on), tables and non-text content, so long as the guidance on maximum page/word limits and on minimum font size, line spacing and margin widths </w:t>
      </w:r>
      <w:r>
        <w:rPr>
          <w:szCs w:val="21"/>
        </w:rPr>
        <w:t xml:space="preserve">set out in this annex </w:t>
      </w:r>
      <w:r w:rsidRPr="009B6055">
        <w:rPr>
          <w:szCs w:val="21"/>
        </w:rPr>
        <w:t>are adhered to.</w:t>
      </w:r>
    </w:p>
    <w:p w:rsidR="00F60481" w:rsidRDefault="00F60481" w:rsidP="004A0682">
      <w:pPr>
        <w:spacing w:after="120"/>
        <w:rPr>
          <w:rFonts w:cs="Arial"/>
          <w:b/>
          <w:szCs w:val="21"/>
        </w:rPr>
      </w:pPr>
    </w:p>
    <w:p w:rsidR="004A0682" w:rsidRPr="009B6055" w:rsidRDefault="004A0682" w:rsidP="004A0682">
      <w:pPr>
        <w:spacing w:after="120"/>
        <w:rPr>
          <w:rFonts w:cs="Arial"/>
          <w:b/>
          <w:szCs w:val="21"/>
        </w:rPr>
      </w:pPr>
      <w:r w:rsidRPr="009B6055">
        <w:rPr>
          <w:rFonts w:cs="Arial"/>
          <w:b/>
          <w:szCs w:val="21"/>
        </w:rPr>
        <w:t>Table F2: Page limits for REF5b</w:t>
      </w:r>
    </w:p>
    <w:tbl>
      <w:tblPr>
        <w:tblW w:w="0" w:type="auto"/>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
      <w:tblGrid>
        <w:gridCol w:w="2781"/>
        <w:gridCol w:w="2800"/>
      </w:tblGrid>
      <w:tr w:rsidR="004A0682" w:rsidRPr="009B6055" w:rsidTr="003572FF">
        <w:tc>
          <w:tcPr>
            <w:tcW w:w="2781" w:type="dxa"/>
            <w:tcBorders>
              <w:top w:val="single" w:sz="12" w:space="0" w:color="auto"/>
              <w:left w:val="single" w:sz="12" w:space="0" w:color="auto"/>
              <w:bottom w:val="single" w:sz="12" w:space="0" w:color="auto"/>
              <w:right w:val="single" w:sz="12" w:space="0" w:color="auto"/>
            </w:tcBorders>
            <w:shd w:val="clear" w:color="auto" w:fill="D9D9D9"/>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Number of Category A submitted staff in the submission (FTE)</w:t>
            </w:r>
          </w:p>
        </w:tc>
        <w:tc>
          <w:tcPr>
            <w:tcW w:w="2800" w:type="dxa"/>
            <w:tcBorders>
              <w:top w:val="single" w:sz="12" w:space="0" w:color="auto"/>
              <w:left w:val="outset" w:sz="6" w:space="0" w:color="auto"/>
              <w:bottom w:val="single" w:sz="12" w:space="0" w:color="auto"/>
              <w:right w:val="outset" w:sz="6" w:space="0" w:color="auto"/>
            </w:tcBorders>
            <w:shd w:val="clear" w:color="auto" w:fill="D9D9D9"/>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Word limit for environment template (REF5b)</w:t>
            </w:r>
          </w:p>
        </w:tc>
      </w:tr>
      <w:tr w:rsidR="004A0682" w:rsidRPr="009B6055" w:rsidTr="003572FF">
        <w:tc>
          <w:tcPr>
            <w:tcW w:w="2781" w:type="dxa"/>
            <w:tcBorders>
              <w:top w:val="outset" w:sz="6" w:space="0" w:color="auto"/>
              <w:left w:val="single" w:sz="12" w:space="0" w:color="auto"/>
              <w:bottom w:val="outset" w:sz="6" w:space="0" w:color="auto"/>
              <w:right w:val="single" w:sz="12" w:space="0" w:color="auto"/>
            </w:tcBorders>
            <w:tcMar>
              <w:top w:w="15" w:type="dxa"/>
              <w:left w:w="15" w:type="dxa"/>
              <w:bottom w:w="15" w:type="dxa"/>
              <w:right w:w="15" w:type="dxa"/>
            </w:tcMar>
            <w:vAlign w:val="center"/>
          </w:tcPr>
          <w:p w:rsidR="004A0682" w:rsidRPr="009B6055" w:rsidRDefault="004A0682" w:rsidP="003572FF">
            <w:pPr>
              <w:spacing w:after="120"/>
              <w:rPr>
                <w:rFonts w:cs="Arial"/>
                <w:szCs w:val="21"/>
              </w:rPr>
            </w:pPr>
            <w:r w:rsidRPr="009B6055">
              <w:rPr>
                <w:rFonts w:cs="Arial"/>
                <w:szCs w:val="21"/>
              </w:rPr>
              <w:t>1 – 19.99</w:t>
            </w:r>
          </w:p>
        </w:tc>
        <w:tc>
          <w:tcPr>
            <w:tcW w:w="2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 xml:space="preserve"> 8,000 </w:t>
            </w:r>
          </w:p>
        </w:tc>
      </w:tr>
      <w:tr w:rsidR="004A0682" w:rsidRPr="009B6055" w:rsidTr="003572FF">
        <w:tc>
          <w:tcPr>
            <w:tcW w:w="2781" w:type="dxa"/>
            <w:tcBorders>
              <w:top w:val="outset" w:sz="6" w:space="0" w:color="auto"/>
              <w:left w:val="single" w:sz="12" w:space="0" w:color="auto"/>
              <w:bottom w:val="outset" w:sz="6" w:space="0" w:color="auto"/>
              <w:right w:val="single" w:sz="12" w:space="0" w:color="auto"/>
            </w:tcBorders>
            <w:tcMar>
              <w:top w:w="15" w:type="dxa"/>
              <w:left w:w="15" w:type="dxa"/>
              <w:bottom w:w="15" w:type="dxa"/>
              <w:right w:w="15" w:type="dxa"/>
            </w:tcMar>
            <w:vAlign w:val="center"/>
          </w:tcPr>
          <w:p w:rsidR="004A0682" w:rsidRPr="009B6055" w:rsidRDefault="004A0682" w:rsidP="003572FF">
            <w:pPr>
              <w:spacing w:after="120"/>
              <w:rPr>
                <w:rFonts w:cs="Arial"/>
                <w:szCs w:val="21"/>
              </w:rPr>
            </w:pPr>
            <w:r w:rsidRPr="009B6055">
              <w:rPr>
                <w:rFonts w:cs="Arial"/>
                <w:szCs w:val="21"/>
              </w:rPr>
              <w:t>20 – 29.99</w:t>
            </w:r>
          </w:p>
        </w:tc>
        <w:tc>
          <w:tcPr>
            <w:tcW w:w="2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8,800</w:t>
            </w:r>
          </w:p>
        </w:tc>
      </w:tr>
      <w:tr w:rsidR="004A0682" w:rsidRPr="009B6055" w:rsidTr="003572FF">
        <w:tc>
          <w:tcPr>
            <w:tcW w:w="2781" w:type="dxa"/>
            <w:tcBorders>
              <w:top w:val="outset" w:sz="6" w:space="0" w:color="auto"/>
              <w:left w:val="single" w:sz="12" w:space="0" w:color="auto"/>
              <w:bottom w:val="outset" w:sz="6" w:space="0" w:color="auto"/>
              <w:right w:val="single" w:sz="12" w:space="0" w:color="auto"/>
            </w:tcBorders>
            <w:tcMar>
              <w:top w:w="15" w:type="dxa"/>
              <w:left w:w="15" w:type="dxa"/>
              <w:bottom w:w="15" w:type="dxa"/>
              <w:right w:w="15" w:type="dxa"/>
            </w:tcMar>
            <w:vAlign w:val="center"/>
          </w:tcPr>
          <w:p w:rsidR="004A0682" w:rsidRPr="009B6055" w:rsidRDefault="004A0682" w:rsidP="003572FF">
            <w:pPr>
              <w:spacing w:after="120"/>
              <w:rPr>
                <w:rFonts w:cs="Arial"/>
                <w:szCs w:val="21"/>
              </w:rPr>
            </w:pPr>
            <w:r w:rsidRPr="009B6055">
              <w:rPr>
                <w:rFonts w:cs="Arial"/>
                <w:szCs w:val="21"/>
              </w:rPr>
              <w:t>30 – 39.99</w:t>
            </w:r>
          </w:p>
        </w:tc>
        <w:tc>
          <w:tcPr>
            <w:tcW w:w="2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 xml:space="preserve">9,600 </w:t>
            </w:r>
          </w:p>
        </w:tc>
      </w:tr>
      <w:tr w:rsidR="004A0682" w:rsidRPr="009B6055" w:rsidTr="003572FF">
        <w:tc>
          <w:tcPr>
            <w:tcW w:w="2781" w:type="dxa"/>
            <w:tcBorders>
              <w:top w:val="outset" w:sz="6" w:space="0" w:color="auto"/>
              <w:left w:val="single" w:sz="12" w:space="0" w:color="auto"/>
              <w:bottom w:val="outset" w:sz="6" w:space="0" w:color="auto"/>
              <w:right w:val="single" w:sz="12" w:space="0" w:color="auto"/>
            </w:tcBorders>
            <w:tcMar>
              <w:top w:w="15" w:type="dxa"/>
              <w:left w:w="15" w:type="dxa"/>
              <w:bottom w:w="15" w:type="dxa"/>
              <w:right w:w="15" w:type="dxa"/>
            </w:tcMar>
            <w:vAlign w:val="center"/>
          </w:tcPr>
          <w:p w:rsidR="004A0682" w:rsidRPr="009B6055" w:rsidRDefault="004A0682" w:rsidP="003572FF">
            <w:pPr>
              <w:spacing w:after="120"/>
              <w:rPr>
                <w:rFonts w:cs="Arial"/>
                <w:szCs w:val="21"/>
              </w:rPr>
            </w:pPr>
            <w:r w:rsidRPr="009B6055">
              <w:rPr>
                <w:rFonts w:cs="Arial"/>
                <w:szCs w:val="21"/>
              </w:rPr>
              <w:t>40 – 49.99</w:t>
            </w:r>
          </w:p>
        </w:tc>
        <w:tc>
          <w:tcPr>
            <w:tcW w:w="2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 xml:space="preserve">10,400 </w:t>
            </w:r>
          </w:p>
        </w:tc>
      </w:tr>
      <w:tr w:rsidR="004A0682" w:rsidRPr="009B6055" w:rsidTr="003572FF">
        <w:tc>
          <w:tcPr>
            <w:tcW w:w="2781" w:type="dxa"/>
            <w:tcBorders>
              <w:top w:val="outset" w:sz="6" w:space="0" w:color="auto"/>
              <w:left w:val="single" w:sz="12" w:space="0" w:color="auto"/>
              <w:bottom w:val="outset" w:sz="6" w:space="0" w:color="auto"/>
              <w:right w:val="single" w:sz="12" w:space="0" w:color="auto"/>
            </w:tcBorders>
            <w:tcMar>
              <w:top w:w="15" w:type="dxa"/>
              <w:left w:w="15" w:type="dxa"/>
              <w:bottom w:w="15" w:type="dxa"/>
              <w:right w:w="15" w:type="dxa"/>
            </w:tcMar>
            <w:vAlign w:val="center"/>
          </w:tcPr>
          <w:p w:rsidR="004A0682" w:rsidRPr="009B6055" w:rsidRDefault="004A0682" w:rsidP="003572FF">
            <w:pPr>
              <w:spacing w:after="120"/>
              <w:rPr>
                <w:rFonts w:cs="Arial"/>
                <w:szCs w:val="21"/>
              </w:rPr>
            </w:pPr>
            <w:r w:rsidRPr="009B6055">
              <w:rPr>
                <w:rFonts w:cs="Arial"/>
                <w:szCs w:val="21"/>
              </w:rPr>
              <w:t>50 – 69.99</w:t>
            </w:r>
          </w:p>
        </w:tc>
        <w:tc>
          <w:tcPr>
            <w:tcW w:w="2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 xml:space="preserve">11,200 </w:t>
            </w:r>
          </w:p>
        </w:tc>
      </w:tr>
      <w:tr w:rsidR="004A0682" w:rsidRPr="009B6055" w:rsidTr="003572FF">
        <w:tc>
          <w:tcPr>
            <w:tcW w:w="2781" w:type="dxa"/>
            <w:tcBorders>
              <w:top w:val="outset" w:sz="6" w:space="0" w:color="auto"/>
              <w:left w:val="single" w:sz="12" w:space="0" w:color="auto"/>
              <w:bottom w:val="outset" w:sz="6" w:space="0" w:color="auto"/>
              <w:right w:val="single" w:sz="12" w:space="0" w:color="auto"/>
            </w:tcBorders>
            <w:tcMar>
              <w:top w:w="15" w:type="dxa"/>
              <w:left w:w="15" w:type="dxa"/>
              <w:bottom w:w="15" w:type="dxa"/>
              <w:right w:w="15" w:type="dxa"/>
            </w:tcMar>
            <w:vAlign w:val="center"/>
          </w:tcPr>
          <w:p w:rsidR="004A0682" w:rsidRPr="009B6055" w:rsidRDefault="004A0682" w:rsidP="003572FF">
            <w:pPr>
              <w:spacing w:after="120"/>
              <w:rPr>
                <w:rFonts w:cs="Arial"/>
                <w:szCs w:val="21"/>
              </w:rPr>
            </w:pPr>
            <w:r w:rsidRPr="009B6055">
              <w:rPr>
                <w:rFonts w:cs="Arial"/>
                <w:szCs w:val="21"/>
              </w:rPr>
              <w:t>70 or more</w:t>
            </w:r>
          </w:p>
        </w:tc>
        <w:tc>
          <w:tcPr>
            <w:tcW w:w="2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0682" w:rsidRPr="009B6055" w:rsidRDefault="004A0682" w:rsidP="003572FF">
            <w:pPr>
              <w:spacing w:after="120"/>
              <w:jc w:val="center"/>
              <w:rPr>
                <w:rFonts w:cs="Arial"/>
                <w:szCs w:val="21"/>
              </w:rPr>
            </w:pPr>
            <w:r w:rsidRPr="009B6055">
              <w:rPr>
                <w:rFonts w:cs="Arial"/>
                <w:szCs w:val="21"/>
              </w:rPr>
              <w:t xml:space="preserve">12,000, plus 800 further words per additional 20 FTE </w:t>
            </w:r>
          </w:p>
        </w:tc>
      </w:tr>
    </w:tbl>
    <w:p w:rsidR="004A0682" w:rsidRDefault="004A0682" w:rsidP="004A0682">
      <w:pPr>
        <w:spacing w:after="120"/>
        <w:rPr>
          <w:rFonts w:cs="Arial"/>
          <w:b/>
          <w:szCs w:val="21"/>
        </w:rPr>
      </w:pPr>
      <w:bookmarkStart w:id="5" w:name="_GoBack"/>
      <w:bookmarkEnd w:id="5"/>
    </w:p>
    <w:p w:rsidR="004A0682" w:rsidRDefault="004A0682" w:rsidP="004A0682">
      <w:pPr>
        <w:spacing w:after="120"/>
        <w:rPr>
          <w:rFonts w:cs="Arial"/>
          <w:b/>
          <w:szCs w:val="21"/>
        </w:rPr>
      </w:pPr>
    </w:p>
    <w:p w:rsidR="004A0682" w:rsidRPr="009B6055" w:rsidRDefault="004A0682" w:rsidP="004A0682">
      <w:pPr>
        <w:spacing w:after="120"/>
        <w:rPr>
          <w:rFonts w:cs="Arial"/>
          <w:b/>
          <w:szCs w:val="21"/>
        </w:rPr>
      </w:pPr>
      <w:r w:rsidRPr="009B6055">
        <w:rPr>
          <w:rFonts w:cs="Arial"/>
          <w:b/>
          <w:szCs w:val="21"/>
        </w:rPr>
        <w:t>Table A4: Environment sub-profile: Criteria and definitions of starred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053"/>
      </w:tblGrid>
      <w:tr w:rsidR="004A0682" w:rsidRPr="009B6055" w:rsidTr="003572FF">
        <w:tc>
          <w:tcPr>
            <w:tcW w:w="8436" w:type="dxa"/>
            <w:gridSpan w:val="2"/>
          </w:tcPr>
          <w:p w:rsidR="004A0682" w:rsidRPr="009B6055" w:rsidRDefault="004A0682" w:rsidP="003572FF">
            <w:pPr>
              <w:autoSpaceDE w:val="0"/>
              <w:autoSpaceDN w:val="0"/>
              <w:adjustRightInd w:val="0"/>
              <w:rPr>
                <w:rFonts w:cs="Arial"/>
                <w:szCs w:val="21"/>
              </w:rPr>
            </w:pPr>
          </w:p>
          <w:p w:rsidR="004A0682" w:rsidRPr="009B6055" w:rsidRDefault="004A0682" w:rsidP="003572FF">
            <w:pPr>
              <w:autoSpaceDE w:val="0"/>
              <w:autoSpaceDN w:val="0"/>
              <w:adjustRightInd w:val="0"/>
              <w:rPr>
                <w:rFonts w:cs="Arial"/>
                <w:szCs w:val="21"/>
              </w:rPr>
            </w:pPr>
            <w:r w:rsidRPr="009B6055">
              <w:rPr>
                <w:rFonts w:cs="Arial"/>
                <w:szCs w:val="21"/>
              </w:rPr>
              <w:t>The research environment will be assessed in terms of its ‘vitality and sustainability’. Panels will consider both the ‘vitality and sustainability’ of the submitted unit, including its approach to enabling impact from its research, and its contribution to the ‘vitality and sustainability’ of the wider research base.</w:t>
            </w:r>
          </w:p>
          <w:p w:rsidR="004A0682" w:rsidRPr="009B6055" w:rsidRDefault="004A0682" w:rsidP="003572FF">
            <w:pPr>
              <w:autoSpaceDE w:val="0"/>
              <w:autoSpaceDN w:val="0"/>
              <w:adjustRightInd w:val="0"/>
              <w:rPr>
                <w:rFonts w:cs="Arial"/>
                <w:szCs w:val="21"/>
              </w:rPr>
            </w:pPr>
          </w:p>
        </w:tc>
      </w:tr>
      <w:tr w:rsidR="004A0682" w:rsidRPr="009B6055" w:rsidTr="003572FF">
        <w:tc>
          <w:tcPr>
            <w:tcW w:w="1383" w:type="dxa"/>
          </w:tcPr>
          <w:p w:rsidR="004A0682" w:rsidRPr="009B6055" w:rsidRDefault="004A0682" w:rsidP="003572FF">
            <w:pPr>
              <w:autoSpaceDE w:val="0"/>
              <w:autoSpaceDN w:val="0"/>
              <w:adjustRightInd w:val="0"/>
              <w:rPr>
                <w:rFonts w:cs="Arial"/>
                <w:szCs w:val="21"/>
              </w:rPr>
            </w:pPr>
            <w:r w:rsidRPr="009B6055">
              <w:rPr>
                <w:rFonts w:cs="Arial"/>
                <w:szCs w:val="21"/>
              </w:rPr>
              <w:t>Four star</w:t>
            </w:r>
          </w:p>
        </w:tc>
        <w:tc>
          <w:tcPr>
            <w:tcW w:w="7053" w:type="dxa"/>
          </w:tcPr>
          <w:p w:rsidR="004A0682" w:rsidRPr="009B6055" w:rsidRDefault="004A0682" w:rsidP="003572FF">
            <w:pPr>
              <w:autoSpaceDE w:val="0"/>
              <w:autoSpaceDN w:val="0"/>
              <w:adjustRightInd w:val="0"/>
              <w:rPr>
                <w:rFonts w:cs="Arial"/>
                <w:szCs w:val="21"/>
              </w:rPr>
            </w:pPr>
            <w:bookmarkStart w:id="6" w:name="OLE_LINK3"/>
            <w:bookmarkStart w:id="7" w:name="OLE_LINK7"/>
            <w:r w:rsidRPr="009B6055">
              <w:rPr>
                <w:rFonts w:cs="Arial"/>
                <w:szCs w:val="21"/>
              </w:rPr>
              <w:t>An environment that is conducive to producing research of world-leading quality and enabling outstanding impact, in terms of its vitality and sustainability</w:t>
            </w:r>
            <w:bookmarkEnd w:id="6"/>
            <w:bookmarkEnd w:id="7"/>
            <w:r w:rsidRPr="009B6055">
              <w:rPr>
                <w:rFonts w:cs="Arial"/>
                <w:szCs w:val="21"/>
              </w:rPr>
              <w:t xml:space="preserve">. </w:t>
            </w:r>
          </w:p>
        </w:tc>
      </w:tr>
      <w:tr w:rsidR="004A0682" w:rsidRPr="009B6055" w:rsidTr="003572FF">
        <w:tc>
          <w:tcPr>
            <w:tcW w:w="1383" w:type="dxa"/>
          </w:tcPr>
          <w:p w:rsidR="004A0682" w:rsidRPr="009B6055" w:rsidRDefault="004A0682" w:rsidP="003572FF">
            <w:pPr>
              <w:autoSpaceDE w:val="0"/>
              <w:autoSpaceDN w:val="0"/>
              <w:adjustRightInd w:val="0"/>
              <w:rPr>
                <w:rFonts w:cs="Arial"/>
                <w:szCs w:val="21"/>
              </w:rPr>
            </w:pPr>
            <w:r w:rsidRPr="009B6055">
              <w:rPr>
                <w:rFonts w:cs="Arial"/>
                <w:szCs w:val="21"/>
              </w:rPr>
              <w:t>Three star</w:t>
            </w:r>
          </w:p>
        </w:tc>
        <w:tc>
          <w:tcPr>
            <w:tcW w:w="7053" w:type="dxa"/>
          </w:tcPr>
          <w:p w:rsidR="004A0682" w:rsidRPr="009B6055" w:rsidRDefault="004A0682" w:rsidP="003572FF">
            <w:pPr>
              <w:autoSpaceDE w:val="0"/>
              <w:autoSpaceDN w:val="0"/>
              <w:adjustRightInd w:val="0"/>
              <w:rPr>
                <w:rFonts w:cs="Arial"/>
                <w:szCs w:val="21"/>
              </w:rPr>
            </w:pPr>
            <w:r w:rsidRPr="009B6055">
              <w:rPr>
                <w:rFonts w:cs="Arial"/>
                <w:szCs w:val="21"/>
              </w:rPr>
              <w:t xml:space="preserve">An environment that is conducive to producing research of internationally excellent quality and enabling very considerable impact, in terms of its vitality and sustainability. </w:t>
            </w:r>
          </w:p>
        </w:tc>
      </w:tr>
      <w:tr w:rsidR="004A0682" w:rsidRPr="009B6055" w:rsidTr="003572FF">
        <w:tc>
          <w:tcPr>
            <w:tcW w:w="1383" w:type="dxa"/>
          </w:tcPr>
          <w:p w:rsidR="004A0682" w:rsidRPr="009B6055" w:rsidRDefault="004A0682" w:rsidP="003572FF">
            <w:pPr>
              <w:autoSpaceDE w:val="0"/>
              <w:autoSpaceDN w:val="0"/>
              <w:adjustRightInd w:val="0"/>
              <w:rPr>
                <w:rFonts w:cs="Arial"/>
                <w:szCs w:val="21"/>
              </w:rPr>
            </w:pPr>
            <w:r w:rsidRPr="009B6055">
              <w:rPr>
                <w:rFonts w:cs="Arial"/>
                <w:szCs w:val="21"/>
              </w:rPr>
              <w:t>Two star</w:t>
            </w:r>
          </w:p>
        </w:tc>
        <w:tc>
          <w:tcPr>
            <w:tcW w:w="7053" w:type="dxa"/>
          </w:tcPr>
          <w:p w:rsidR="004A0682" w:rsidRPr="009B6055" w:rsidRDefault="004A0682" w:rsidP="003572FF">
            <w:pPr>
              <w:autoSpaceDE w:val="0"/>
              <w:autoSpaceDN w:val="0"/>
              <w:adjustRightInd w:val="0"/>
              <w:rPr>
                <w:rFonts w:cs="Arial"/>
                <w:szCs w:val="21"/>
              </w:rPr>
            </w:pPr>
            <w:r w:rsidRPr="009B6055">
              <w:rPr>
                <w:rFonts w:cs="Arial"/>
                <w:szCs w:val="21"/>
              </w:rPr>
              <w:t>An environment that is conducive to producing research of internationally recognised quality and enabling considerable impact, in terms of its vitality and sustainability.</w:t>
            </w:r>
          </w:p>
        </w:tc>
      </w:tr>
      <w:tr w:rsidR="004A0682" w:rsidRPr="009B6055" w:rsidTr="003572FF">
        <w:tc>
          <w:tcPr>
            <w:tcW w:w="1383" w:type="dxa"/>
          </w:tcPr>
          <w:p w:rsidR="004A0682" w:rsidRPr="009B6055" w:rsidRDefault="004A0682" w:rsidP="003572FF">
            <w:pPr>
              <w:autoSpaceDE w:val="0"/>
              <w:autoSpaceDN w:val="0"/>
              <w:adjustRightInd w:val="0"/>
              <w:rPr>
                <w:rFonts w:cs="Arial"/>
                <w:szCs w:val="21"/>
              </w:rPr>
            </w:pPr>
            <w:r w:rsidRPr="009B6055">
              <w:rPr>
                <w:rFonts w:cs="Arial"/>
                <w:szCs w:val="21"/>
              </w:rPr>
              <w:t>One star</w:t>
            </w:r>
          </w:p>
        </w:tc>
        <w:tc>
          <w:tcPr>
            <w:tcW w:w="7053" w:type="dxa"/>
          </w:tcPr>
          <w:p w:rsidR="004A0682" w:rsidRPr="009B6055" w:rsidRDefault="004A0682" w:rsidP="003572FF">
            <w:pPr>
              <w:autoSpaceDE w:val="0"/>
              <w:autoSpaceDN w:val="0"/>
              <w:adjustRightInd w:val="0"/>
              <w:rPr>
                <w:rFonts w:cs="Arial"/>
                <w:szCs w:val="21"/>
              </w:rPr>
            </w:pPr>
            <w:r w:rsidRPr="009B6055">
              <w:rPr>
                <w:rFonts w:cs="Arial"/>
                <w:szCs w:val="21"/>
              </w:rPr>
              <w:t xml:space="preserve">An environment that is conducive to producing research of nationally recognised quality and enabling recognised but modest impact, in terms of its vitality and sustainability. </w:t>
            </w:r>
          </w:p>
        </w:tc>
      </w:tr>
      <w:tr w:rsidR="004A0682" w:rsidRPr="009B6055" w:rsidTr="003572FF">
        <w:trPr>
          <w:trHeight w:val="77"/>
        </w:trPr>
        <w:tc>
          <w:tcPr>
            <w:tcW w:w="1383" w:type="dxa"/>
          </w:tcPr>
          <w:p w:rsidR="004A0682" w:rsidRPr="009B6055" w:rsidRDefault="004A0682" w:rsidP="003572FF">
            <w:pPr>
              <w:autoSpaceDE w:val="0"/>
              <w:autoSpaceDN w:val="0"/>
              <w:adjustRightInd w:val="0"/>
              <w:rPr>
                <w:rFonts w:cs="Arial"/>
                <w:szCs w:val="21"/>
              </w:rPr>
            </w:pPr>
            <w:r w:rsidRPr="009B6055">
              <w:rPr>
                <w:rFonts w:cs="Arial"/>
                <w:szCs w:val="21"/>
              </w:rPr>
              <w:t>Unclassified</w:t>
            </w:r>
          </w:p>
        </w:tc>
        <w:tc>
          <w:tcPr>
            <w:tcW w:w="7053" w:type="dxa"/>
          </w:tcPr>
          <w:p w:rsidR="004A0682" w:rsidRPr="009B6055" w:rsidRDefault="004A0682" w:rsidP="003572FF">
            <w:pPr>
              <w:autoSpaceDE w:val="0"/>
              <w:autoSpaceDN w:val="0"/>
              <w:adjustRightInd w:val="0"/>
              <w:rPr>
                <w:rFonts w:cs="Arial"/>
                <w:szCs w:val="21"/>
              </w:rPr>
            </w:pPr>
            <w:r w:rsidRPr="009B6055">
              <w:rPr>
                <w:rFonts w:cs="Arial"/>
                <w:szCs w:val="21"/>
              </w:rPr>
              <w:t xml:space="preserve">An environment that is not conducive to producing research of nationally recognised quality or enabling impact of reach and significance. </w:t>
            </w:r>
          </w:p>
        </w:tc>
      </w:tr>
    </w:tbl>
    <w:p w:rsidR="004A0682" w:rsidRPr="009B6055" w:rsidRDefault="004A0682" w:rsidP="004A0682">
      <w:pPr>
        <w:rPr>
          <w:rFonts w:cs="Arial"/>
          <w:szCs w:val="21"/>
        </w:rPr>
      </w:pPr>
    </w:p>
    <w:p w:rsidR="004A0682" w:rsidRPr="004A0682" w:rsidRDefault="004A0682" w:rsidP="004A0682">
      <w:pPr>
        <w:pStyle w:val="Heading3"/>
        <w:ind w:left="11" w:hanging="11"/>
        <w:rPr>
          <w:u w:val="single"/>
        </w:rPr>
      </w:pPr>
      <w:r w:rsidRPr="004A0682">
        <w:rPr>
          <w:u w:val="single"/>
        </w:rPr>
        <w:lastRenderedPageBreak/>
        <w:t>From Panel Criteria</w:t>
      </w:r>
      <w:r>
        <w:rPr>
          <w:u w:val="single"/>
        </w:rPr>
        <w:t xml:space="preserve"> document</w:t>
      </w:r>
      <w:r w:rsidRPr="004A0682">
        <w:rPr>
          <w:u w:val="single"/>
        </w:rPr>
        <w:t>:</w:t>
      </w:r>
    </w:p>
    <w:p w:rsidR="004A0682" w:rsidRPr="00E25C49" w:rsidRDefault="004A0682" w:rsidP="004A0682">
      <w:pPr>
        <w:pStyle w:val="Heading3"/>
        <w:ind w:left="11" w:hanging="11"/>
      </w:pPr>
      <w:r w:rsidRPr="00E25C49">
        <w:t xml:space="preserve">Section </w:t>
      </w:r>
      <w:r>
        <w:t>5</w:t>
      </w:r>
      <w:r w:rsidRPr="00E25C49">
        <w:t>: Environment</w:t>
      </w:r>
    </w:p>
    <w:p w:rsidR="004A0682" w:rsidRPr="009F17A0" w:rsidRDefault="004A0682" w:rsidP="004A0682">
      <w:pPr>
        <w:pStyle w:val="Heading4"/>
      </w:pPr>
      <w:r w:rsidRPr="009F17A0">
        <w:t>Environment criteria</w:t>
      </w:r>
    </w:p>
    <w:p w:rsidR="004A0682" w:rsidRPr="009F17A0" w:rsidRDefault="004A0682" w:rsidP="004A0682">
      <w:pPr>
        <w:numPr>
          <w:ilvl w:val="0"/>
          <w:numId w:val="5"/>
        </w:numPr>
        <w:spacing w:after="240"/>
      </w:pPr>
      <w:bookmarkStart w:id="8" w:name="_Ref512339991"/>
      <w:r w:rsidRPr="00102A72">
        <w:t>The sub-panels will assess the environment according to the generic crit</w:t>
      </w:r>
      <w:r w:rsidRPr="009F17A0">
        <w:t>eria and level definitions in ‘Guidance on submissions’, Annex A. The main panels have set out below how the criteria will be understood by their sub-panels.</w:t>
      </w:r>
      <w:bookmarkEnd w:id="8"/>
    </w:p>
    <w:p w:rsidR="004A0682" w:rsidRPr="009F17A0" w:rsidRDefault="004A0682" w:rsidP="004A0682">
      <w:pPr>
        <w:numPr>
          <w:ilvl w:val="0"/>
          <w:numId w:val="5"/>
        </w:numPr>
        <w:spacing w:after="240"/>
      </w:pPr>
      <w:r w:rsidRPr="009F17A0">
        <w:rPr>
          <w:b/>
        </w:rPr>
        <w:t>Vitality</w:t>
      </w:r>
      <w:r w:rsidRPr="009F17A0">
        <w:t xml:space="preserve"> will be understood as the extent to which a unit supports a thriving and inclusive research culture for all staff and research students, that is based on a clearly articulated strategy for research and enabling its impact, is engaged with the national and international research and user communities and is able to attract excellent postgraduate and postdoctoral researchers. </w:t>
      </w:r>
    </w:p>
    <w:p w:rsidR="004A0682" w:rsidRPr="009F17A0" w:rsidRDefault="004A0682" w:rsidP="004A0682">
      <w:pPr>
        <w:numPr>
          <w:ilvl w:val="0"/>
          <w:numId w:val="5"/>
        </w:numPr>
        <w:spacing w:after="240"/>
      </w:pPr>
      <w:r w:rsidRPr="009F17A0">
        <w:rPr>
          <w:b/>
          <w:bCs/>
        </w:rPr>
        <w:t>Sustainability</w:t>
      </w:r>
      <w:r w:rsidRPr="009F17A0">
        <w:t xml:space="preserve"> will be understood as the extent to which the research environment ensures the future health, diversity, wellbeing and wider contribution of the unit and the discipline(s), including investment in people and in infrastructure.</w:t>
      </w:r>
    </w:p>
    <w:p w:rsidR="004A0682" w:rsidRPr="009F17A0" w:rsidRDefault="004A0682" w:rsidP="004A0682">
      <w:pPr>
        <w:numPr>
          <w:ilvl w:val="0"/>
          <w:numId w:val="5"/>
        </w:numPr>
        <w:spacing w:after="240"/>
      </w:pPr>
      <w:r w:rsidRPr="009F17A0">
        <w:t xml:space="preserve">In assessing the environment element of submissions, panels will assess vitality and sustainability in terms appropriate to the scale and diversity of the research activity the submitting unit supports, and as appropriate for its subject area(s). They will assess vitality and sustainability in terms of both the research environment within the submitting unit, and its participation in and contribution to its subject discipline, academic community and wider society. </w:t>
      </w:r>
    </w:p>
    <w:p w:rsidR="004A0682" w:rsidRPr="009F17A0" w:rsidRDefault="004A0682" w:rsidP="004A0682">
      <w:pPr>
        <w:numPr>
          <w:ilvl w:val="0"/>
          <w:numId w:val="5"/>
        </w:numPr>
        <w:spacing w:after="240"/>
      </w:pPr>
      <w:bookmarkStart w:id="9" w:name="_Ref512340003"/>
      <w:r w:rsidRPr="009F17A0">
        <w:rPr>
          <w:rFonts w:cs="Arial"/>
          <w:szCs w:val="21"/>
        </w:rPr>
        <w:t>In forming the environment sub-profiles, the sub-panels will attach weightings to each of the four sections of the unit-level environment template (REF5b), as set out below:</w:t>
      </w:r>
    </w:p>
    <w:p w:rsidR="004A0682" w:rsidRPr="009F17A0" w:rsidRDefault="004A0682" w:rsidP="004A0682">
      <w:pPr>
        <w:pStyle w:val="ListParagraph"/>
        <w:numPr>
          <w:ilvl w:val="0"/>
          <w:numId w:val="4"/>
        </w:numPr>
        <w:spacing w:after="240"/>
      </w:pPr>
      <w:r w:rsidRPr="009F17A0">
        <w:rPr>
          <w:rFonts w:cs="Arial"/>
        </w:rPr>
        <w:t xml:space="preserve">unit context and structure, research and impact strategy </w:t>
      </w:r>
    </w:p>
    <w:p w:rsidR="004A0682" w:rsidRPr="009F17A0" w:rsidRDefault="004A0682" w:rsidP="004A0682">
      <w:pPr>
        <w:pStyle w:val="ListParagraph"/>
        <w:numPr>
          <w:ilvl w:val="0"/>
          <w:numId w:val="4"/>
        </w:numPr>
        <w:spacing w:after="240"/>
      </w:pPr>
      <w:r w:rsidRPr="009F17A0">
        <w:rPr>
          <w:rFonts w:cs="Arial"/>
        </w:rPr>
        <w:t xml:space="preserve">people </w:t>
      </w:r>
    </w:p>
    <w:p w:rsidR="004A0682" w:rsidRPr="009F17A0" w:rsidRDefault="004A0682" w:rsidP="004A0682">
      <w:pPr>
        <w:pStyle w:val="ListParagraph"/>
        <w:numPr>
          <w:ilvl w:val="0"/>
          <w:numId w:val="4"/>
        </w:numPr>
        <w:spacing w:after="240"/>
      </w:pPr>
      <w:r w:rsidRPr="009F17A0">
        <w:rPr>
          <w:rFonts w:cs="Arial"/>
        </w:rPr>
        <w:t xml:space="preserve">income, infrastructure and facilities </w:t>
      </w:r>
    </w:p>
    <w:p w:rsidR="004A0682" w:rsidRPr="009F17A0" w:rsidRDefault="004A0682" w:rsidP="004A0682">
      <w:pPr>
        <w:pStyle w:val="ListParagraph"/>
        <w:numPr>
          <w:ilvl w:val="0"/>
          <w:numId w:val="4"/>
        </w:numPr>
        <w:spacing w:after="240"/>
      </w:pPr>
      <w:proofErr w:type="gramStart"/>
      <w:r w:rsidRPr="009F17A0">
        <w:rPr>
          <w:rFonts w:cs="Arial"/>
        </w:rPr>
        <w:t>collaboration</w:t>
      </w:r>
      <w:proofErr w:type="gramEnd"/>
      <w:r w:rsidRPr="009F17A0">
        <w:rPr>
          <w:rFonts w:cs="Arial"/>
        </w:rPr>
        <w:t xml:space="preserve"> and contribution to the research base, economy and society.</w:t>
      </w:r>
    </w:p>
    <w:p w:rsidR="004A0682" w:rsidRPr="009F17A0" w:rsidRDefault="004A0682" w:rsidP="004A0682">
      <w:pPr>
        <w:spacing w:after="240"/>
        <w:rPr>
          <w:rFonts w:cs="Arial"/>
          <w:szCs w:val="21"/>
        </w:rPr>
      </w:pPr>
      <w:r w:rsidRPr="009F17A0">
        <w:rPr>
          <w:rFonts w:cs="Arial"/>
          <w:szCs w:val="21"/>
        </w:rPr>
        <w:t xml:space="preserve">The assessment will take account of the environment data as stated in paragraphs </w:t>
      </w:r>
      <w:r w:rsidRPr="009F17A0">
        <w:rPr>
          <w:rFonts w:cs="Arial"/>
          <w:szCs w:val="21"/>
        </w:rPr>
        <w:fldChar w:fldCharType="begin"/>
      </w:r>
      <w:r w:rsidRPr="009F17A0">
        <w:rPr>
          <w:rFonts w:cs="Arial"/>
          <w:szCs w:val="21"/>
        </w:rPr>
        <w:instrText xml:space="preserve"> REF _Ref519259271 \r \h </w:instrText>
      </w:r>
      <w:r w:rsidRPr="009F17A0">
        <w:rPr>
          <w:rFonts w:cs="Arial"/>
          <w:szCs w:val="21"/>
        </w:rPr>
      </w:r>
      <w:r w:rsidRPr="009F17A0">
        <w:rPr>
          <w:rFonts w:cs="Arial"/>
          <w:szCs w:val="21"/>
        </w:rPr>
        <w:fldChar w:fldCharType="separate"/>
      </w:r>
      <w:r>
        <w:rPr>
          <w:rFonts w:cs="Arial"/>
          <w:szCs w:val="21"/>
        </w:rPr>
        <w:t>362</w:t>
      </w:r>
      <w:r w:rsidRPr="009F17A0">
        <w:rPr>
          <w:rFonts w:cs="Arial"/>
          <w:szCs w:val="21"/>
        </w:rPr>
        <w:fldChar w:fldCharType="end"/>
      </w:r>
      <w:r w:rsidRPr="009F17A0">
        <w:rPr>
          <w:rFonts w:cs="Arial"/>
          <w:szCs w:val="21"/>
        </w:rPr>
        <w:t xml:space="preserve"> to </w:t>
      </w:r>
      <w:r w:rsidRPr="009F17A0">
        <w:rPr>
          <w:rFonts w:cs="Arial"/>
          <w:szCs w:val="21"/>
        </w:rPr>
        <w:fldChar w:fldCharType="begin"/>
      </w:r>
      <w:r w:rsidRPr="009F17A0">
        <w:rPr>
          <w:rFonts w:cs="Arial"/>
          <w:szCs w:val="21"/>
        </w:rPr>
        <w:instrText xml:space="preserve"> REF _Ref519259272 \r \h </w:instrText>
      </w:r>
      <w:r w:rsidRPr="009F17A0">
        <w:rPr>
          <w:rFonts w:cs="Arial"/>
          <w:szCs w:val="21"/>
        </w:rPr>
      </w:r>
      <w:r w:rsidRPr="009F17A0">
        <w:rPr>
          <w:rFonts w:cs="Arial"/>
          <w:szCs w:val="21"/>
        </w:rPr>
        <w:fldChar w:fldCharType="separate"/>
      </w:r>
      <w:r>
        <w:rPr>
          <w:rFonts w:cs="Arial"/>
          <w:szCs w:val="21"/>
        </w:rPr>
        <w:t>363</w:t>
      </w:r>
      <w:r w:rsidRPr="009F17A0">
        <w:rPr>
          <w:rFonts w:cs="Arial"/>
          <w:szCs w:val="21"/>
        </w:rPr>
        <w:fldChar w:fldCharType="end"/>
      </w:r>
      <w:r w:rsidRPr="009F17A0">
        <w:rPr>
          <w:rFonts w:cs="Arial"/>
          <w:szCs w:val="21"/>
        </w:rPr>
        <w:t xml:space="preserve"> and the information provided in the institutional-level statement (REF5a) as stated in paragraph </w:t>
      </w:r>
      <w:r w:rsidRPr="009F17A0">
        <w:rPr>
          <w:rFonts w:cs="Arial"/>
          <w:szCs w:val="21"/>
        </w:rPr>
        <w:fldChar w:fldCharType="begin"/>
      </w:r>
      <w:r w:rsidRPr="009F17A0">
        <w:rPr>
          <w:rFonts w:cs="Arial"/>
          <w:szCs w:val="21"/>
        </w:rPr>
        <w:instrText xml:space="preserve"> REF _Ref519259312 \r \h </w:instrText>
      </w:r>
      <w:r w:rsidRPr="009F17A0">
        <w:rPr>
          <w:rFonts w:cs="Arial"/>
          <w:szCs w:val="21"/>
        </w:rPr>
      </w:r>
      <w:r w:rsidRPr="009F17A0">
        <w:rPr>
          <w:rFonts w:cs="Arial"/>
          <w:szCs w:val="21"/>
        </w:rPr>
        <w:fldChar w:fldCharType="separate"/>
      </w:r>
      <w:r>
        <w:rPr>
          <w:rFonts w:cs="Arial"/>
          <w:szCs w:val="21"/>
        </w:rPr>
        <w:t>333</w:t>
      </w:r>
      <w:r w:rsidRPr="009F17A0">
        <w:rPr>
          <w:rFonts w:cs="Arial"/>
          <w:szCs w:val="21"/>
        </w:rPr>
        <w:fldChar w:fldCharType="end"/>
      </w:r>
      <w:r w:rsidRPr="009F17A0">
        <w:rPr>
          <w:rFonts w:cs="Arial"/>
          <w:szCs w:val="21"/>
        </w:rPr>
        <w:t xml:space="preserve">. </w:t>
      </w:r>
      <w:bookmarkEnd w:id="9"/>
    </w:p>
    <w:p w:rsidR="004A0682" w:rsidRPr="00102A72" w:rsidRDefault="004A0682" w:rsidP="004A0682">
      <w:pPr>
        <w:pStyle w:val="ListParagraph"/>
        <w:ind w:left="0"/>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4A0682" w:rsidRPr="009F17A0" w:rsidTr="003572FF">
        <w:tc>
          <w:tcPr>
            <w:tcW w:w="9350" w:type="dxa"/>
            <w:shd w:val="clear" w:color="auto" w:fill="auto"/>
          </w:tcPr>
          <w:p w:rsidR="004A0682" w:rsidRPr="009F17A0" w:rsidRDefault="004A0682" w:rsidP="003572FF">
            <w:pPr>
              <w:pStyle w:val="ListParagraph"/>
              <w:spacing w:after="240"/>
              <w:ind w:left="0"/>
              <w:rPr>
                <w:b/>
              </w:rPr>
            </w:pPr>
            <w:r w:rsidRPr="009F17A0">
              <w:rPr>
                <w:b/>
              </w:rPr>
              <w:t>Main Panels A, B and C supplementary criteria – section weightings for the environment template (REF5b)</w:t>
            </w:r>
          </w:p>
          <w:p w:rsidR="004A0682" w:rsidRPr="009F17A0" w:rsidRDefault="004A0682" w:rsidP="004A0682">
            <w:pPr>
              <w:pStyle w:val="ListParagraph"/>
              <w:numPr>
                <w:ilvl w:val="0"/>
                <w:numId w:val="5"/>
              </w:numPr>
              <w:spacing w:after="240"/>
            </w:pPr>
            <w:bookmarkStart w:id="10" w:name="_Ref519259223"/>
            <w:r w:rsidRPr="009F17A0">
              <w:t>The sub-panels in Main Panels A, B and C will attach equal weighting to each of the four sections of the unit-level environment template (REF5b).</w:t>
            </w:r>
            <w:bookmarkEnd w:id="10"/>
          </w:p>
        </w:tc>
      </w:tr>
    </w:tbl>
    <w:p w:rsidR="004A0682" w:rsidRPr="009F17A0" w:rsidRDefault="004A0682" w:rsidP="004A0682">
      <w:pPr>
        <w:spacing w:after="240"/>
      </w:pPr>
    </w:p>
    <w:tbl>
      <w:tblPr>
        <w:tblStyle w:val="TableGrid"/>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9242"/>
      </w:tblGrid>
      <w:tr w:rsidR="004A0682" w:rsidRPr="009F17A0" w:rsidTr="003572FF">
        <w:trPr>
          <w:trHeight w:val="4649"/>
        </w:trPr>
        <w:tc>
          <w:tcPr>
            <w:tcW w:w="9350" w:type="dxa"/>
            <w:shd w:val="clear" w:color="auto" w:fill="auto"/>
          </w:tcPr>
          <w:p w:rsidR="004A0682" w:rsidRPr="009F17A0" w:rsidRDefault="004A0682" w:rsidP="003572FF">
            <w:pPr>
              <w:pStyle w:val="ListParagraph"/>
              <w:spacing w:after="240"/>
              <w:ind w:left="0"/>
              <w:rPr>
                <w:b/>
              </w:rPr>
            </w:pPr>
            <w:r w:rsidRPr="009F17A0">
              <w:rPr>
                <w:b/>
              </w:rPr>
              <w:lastRenderedPageBreak/>
              <w:t>Main Panel D supplementary criteria – section weightings for the environment template (REF5b)</w:t>
            </w:r>
          </w:p>
          <w:p w:rsidR="004A0682" w:rsidRPr="009F17A0" w:rsidRDefault="004A0682" w:rsidP="004A0682">
            <w:pPr>
              <w:pStyle w:val="ListParagraph"/>
              <w:numPr>
                <w:ilvl w:val="0"/>
                <w:numId w:val="5"/>
              </w:numPr>
              <w:spacing w:after="240"/>
            </w:pPr>
            <w:bookmarkStart w:id="11" w:name="_Ref519259224"/>
            <w:r w:rsidRPr="009F17A0">
              <w:t>In view of the primary role that people play as the key resource in the arts and humanities, the sub-panels in Main Panel D will attach differential weight to each of the components of the environment template as follows:</w:t>
            </w:r>
            <w:bookmarkEnd w:id="11"/>
          </w:p>
          <w:tbl>
            <w:tblPr>
              <w:tblStyle w:val="TableGrid"/>
              <w:tblW w:w="0" w:type="auto"/>
              <w:tblLook w:val="04A0" w:firstRow="1" w:lastRow="0" w:firstColumn="1" w:lastColumn="0" w:noHBand="0" w:noVBand="1"/>
            </w:tblPr>
            <w:tblGrid>
              <w:gridCol w:w="5769"/>
              <w:gridCol w:w="3247"/>
            </w:tblGrid>
            <w:tr w:rsidR="004A0682" w:rsidRPr="009F17A0" w:rsidTr="003572FF">
              <w:tc>
                <w:tcPr>
                  <w:tcW w:w="5824" w:type="dxa"/>
                </w:tcPr>
                <w:p w:rsidR="004A0682" w:rsidRPr="009F17A0" w:rsidRDefault="004A0682" w:rsidP="003572FF">
                  <w:pPr>
                    <w:pStyle w:val="ListParagraph"/>
                    <w:spacing w:after="240"/>
                    <w:ind w:left="0"/>
                  </w:pPr>
                  <w:r w:rsidRPr="009F17A0">
                    <w:rPr>
                      <w:rFonts w:cs="Arial"/>
                    </w:rPr>
                    <w:t>Unit context and structure, research and impact strategy</w:t>
                  </w:r>
                </w:p>
              </w:tc>
              <w:tc>
                <w:tcPr>
                  <w:tcW w:w="3280" w:type="dxa"/>
                </w:tcPr>
                <w:p w:rsidR="004A0682" w:rsidRPr="009F17A0" w:rsidRDefault="004A0682" w:rsidP="003572FF">
                  <w:pPr>
                    <w:pStyle w:val="ListParagraph"/>
                    <w:spacing w:after="240"/>
                    <w:ind w:left="0"/>
                  </w:pPr>
                  <w:r w:rsidRPr="009F17A0">
                    <w:t>25%</w:t>
                  </w:r>
                </w:p>
              </w:tc>
            </w:tr>
            <w:tr w:rsidR="004A0682" w:rsidRPr="009F17A0" w:rsidTr="003572FF">
              <w:tc>
                <w:tcPr>
                  <w:tcW w:w="5824" w:type="dxa"/>
                </w:tcPr>
                <w:p w:rsidR="004A0682" w:rsidRPr="009F17A0" w:rsidRDefault="004A0682" w:rsidP="003572FF">
                  <w:pPr>
                    <w:pStyle w:val="ListParagraph"/>
                    <w:spacing w:after="240"/>
                    <w:ind w:left="0"/>
                  </w:pPr>
                  <w:r w:rsidRPr="009F17A0">
                    <w:rPr>
                      <w:rFonts w:cs="Arial"/>
                    </w:rPr>
                    <w:t>People</w:t>
                  </w:r>
                </w:p>
              </w:tc>
              <w:tc>
                <w:tcPr>
                  <w:tcW w:w="3280" w:type="dxa"/>
                </w:tcPr>
                <w:p w:rsidR="004A0682" w:rsidRPr="009F17A0" w:rsidRDefault="004A0682" w:rsidP="003572FF">
                  <w:pPr>
                    <w:pStyle w:val="ListParagraph"/>
                    <w:spacing w:after="240"/>
                    <w:ind w:left="0"/>
                  </w:pPr>
                  <w:r w:rsidRPr="009F17A0">
                    <w:t>30%</w:t>
                  </w:r>
                </w:p>
              </w:tc>
            </w:tr>
            <w:tr w:rsidR="004A0682" w:rsidRPr="009F17A0" w:rsidTr="003572FF">
              <w:tc>
                <w:tcPr>
                  <w:tcW w:w="5824" w:type="dxa"/>
                </w:tcPr>
                <w:p w:rsidR="004A0682" w:rsidRPr="009F17A0" w:rsidRDefault="004A0682" w:rsidP="003572FF">
                  <w:pPr>
                    <w:pStyle w:val="ListParagraph"/>
                    <w:spacing w:after="240"/>
                    <w:ind w:left="0"/>
                  </w:pPr>
                  <w:r w:rsidRPr="009F17A0">
                    <w:rPr>
                      <w:rFonts w:cs="Arial"/>
                    </w:rPr>
                    <w:t xml:space="preserve">Income, infrastructure and facilities </w:t>
                  </w:r>
                </w:p>
              </w:tc>
              <w:tc>
                <w:tcPr>
                  <w:tcW w:w="3280" w:type="dxa"/>
                </w:tcPr>
                <w:p w:rsidR="004A0682" w:rsidRPr="009F17A0" w:rsidRDefault="004A0682" w:rsidP="003572FF">
                  <w:pPr>
                    <w:pStyle w:val="ListParagraph"/>
                    <w:spacing w:after="240"/>
                    <w:ind w:left="0"/>
                  </w:pPr>
                  <w:r w:rsidRPr="009F17A0">
                    <w:t>20%</w:t>
                  </w:r>
                </w:p>
              </w:tc>
            </w:tr>
            <w:tr w:rsidR="004A0682" w:rsidRPr="009F17A0" w:rsidTr="003572FF">
              <w:tc>
                <w:tcPr>
                  <w:tcW w:w="5824" w:type="dxa"/>
                </w:tcPr>
                <w:p w:rsidR="004A0682" w:rsidRPr="009F17A0" w:rsidRDefault="004A0682" w:rsidP="003572FF">
                  <w:pPr>
                    <w:pStyle w:val="ListParagraph"/>
                    <w:spacing w:after="240"/>
                    <w:ind w:left="0"/>
                  </w:pPr>
                  <w:r w:rsidRPr="009F17A0">
                    <w:rPr>
                      <w:rFonts w:cs="Arial"/>
                    </w:rPr>
                    <w:t>Collaboration and contribution to the research base, economy and society</w:t>
                  </w:r>
                  <w:r w:rsidRPr="009F17A0">
                    <w:t xml:space="preserve"> </w:t>
                  </w:r>
                </w:p>
              </w:tc>
              <w:tc>
                <w:tcPr>
                  <w:tcW w:w="3280" w:type="dxa"/>
                </w:tcPr>
                <w:p w:rsidR="004A0682" w:rsidRPr="009F17A0" w:rsidRDefault="004A0682" w:rsidP="003572FF">
                  <w:pPr>
                    <w:pStyle w:val="ListParagraph"/>
                    <w:spacing w:after="240"/>
                    <w:ind w:left="0"/>
                  </w:pPr>
                  <w:r w:rsidRPr="009F17A0">
                    <w:t>25%</w:t>
                  </w:r>
                </w:p>
              </w:tc>
            </w:tr>
          </w:tbl>
          <w:p w:rsidR="004A0682" w:rsidRPr="009F17A0" w:rsidRDefault="004A0682" w:rsidP="003572FF">
            <w:pPr>
              <w:pStyle w:val="ListParagraph"/>
              <w:spacing w:after="240"/>
              <w:ind w:left="0"/>
            </w:pPr>
          </w:p>
        </w:tc>
      </w:tr>
    </w:tbl>
    <w:p w:rsidR="00EB1914" w:rsidRPr="002106A1" w:rsidRDefault="00EB1914">
      <w:pPr>
        <w:rPr>
          <w:rFonts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71A"/>
    <w:multiLevelType w:val="multilevel"/>
    <w:tmpl w:val="FB30FCEA"/>
    <w:lvl w:ilvl="0">
      <w:start w:val="1"/>
      <w:numFmt w:val="decimal"/>
      <w:lvlText w:val="%1."/>
      <w:lvlJc w:val="left"/>
      <w:pPr>
        <w:tabs>
          <w:tab w:val="num" w:pos="567"/>
        </w:tabs>
      </w:pPr>
      <w:rPr>
        <w:rFonts w:cs="Times New Roman" w:hint="default"/>
        <w:b w:val="0"/>
        <w:i w:val="0"/>
        <w:u w:val="none"/>
      </w:rPr>
    </w:lvl>
    <w:lvl w:ilvl="1">
      <w:start w:val="1"/>
      <w:numFmt w:val="bullet"/>
      <w:lvlText w:val=""/>
      <w:lvlJc w:val="left"/>
      <w:pPr>
        <w:tabs>
          <w:tab w:val="num" w:pos="1134"/>
        </w:tabs>
        <w:ind w:left="567"/>
      </w:pPr>
      <w:rPr>
        <w:rFonts w:ascii="Symbol" w:hAnsi="Symbol" w:hint="default"/>
        <w:b w:val="0"/>
        <w:i w:val="0"/>
      </w:rPr>
    </w:lvl>
    <w:lvl w:ilvl="2">
      <w:start w:val="1"/>
      <w:numFmt w:val="bullet"/>
      <w:lvlText w:val=""/>
      <w:lvlJc w:val="left"/>
      <w:pPr>
        <w:tabs>
          <w:tab w:val="num" w:pos="1701"/>
        </w:tabs>
        <w:ind w:left="1134"/>
      </w:pPr>
      <w:rPr>
        <w:rFonts w:ascii="Symbol" w:hAnsi="Symbol"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
    <w:nsid w:val="0F207079"/>
    <w:multiLevelType w:val="multilevel"/>
    <w:tmpl w:val="9ED4D404"/>
    <w:name w:val="HEFCE14"/>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b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
    <w:nsid w:val="279E0D8F"/>
    <w:multiLevelType w:val="hybridMultilevel"/>
    <w:tmpl w:val="93C2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9431F"/>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52FD784F"/>
    <w:multiLevelType w:val="multilevel"/>
    <w:tmpl w:val="E0B66C0C"/>
    <w:lvl w:ilvl="0">
      <w:start w:val="120"/>
      <w:numFmt w:val="decimal"/>
      <w:lvlText w:val="%1."/>
      <w:lvlJc w:val="left"/>
      <w:pPr>
        <w:tabs>
          <w:tab w:val="num" w:pos="567"/>
        </w:tabs>
        <w:ind w:left="0" w:firstLine="0"/>
      </w:pPr>
      <w:rPr>
        <w:rFonts w:cs="Times New Roman" w:hint="default"/>
        <w:b w:val="0"/>
        <w:i w:val="0"/>
        <w:u w:val="none"/>
      </w:rPr>
    </w:lvl>
    <w:lvl w:ilvl="1">
      <w:start w:val="1"/>
      <w:numFmt w:val="lowerLetter"/>
      <w:lvlText w:val="%2."/>
      <w:lvlJc w:val="left"/>
      <w:pPr>
        <w:tabs>
          <w:tab w:val="num" w:pos="1134"/>
        </w:tabs>
        <w:ind w:left="567" w:firstLine="0"/>
      </w:pPr>
      <w:rPr>
        <w:rFonts w:ascii="Arial" w:eastAsia="Times New Roman" w:hAnsi="Arial" w:cs="Arial" w:hint="default"/>
        <w:b w:val="0"/>
        <w:i w:val="0"/>
      </w:rPr>
    </w:lvl>
    <w:lvl w:ilvl="2">
      <w:start w:val="1"/>
      <w:numFmt w:val="lowerRoman"/>
      <w:lvlText w:val="%3."/>
      <w:lvlJc w:val="left"/>
      <w:pPr>
        <w:tabs>
          <w:tab w:val="num" w:pos="1701"/>
        </w:tabs>
        <w:ind w:left="1134" w:firstLine="0"/>
      </w:pPr>
      <w:rPr>
        <w:rFonts w:cs="Times New Roman" w:hint="default"/>
        <w:b w:val="0"/>
        <w:i w:val="0"/>
      </w:rPr>
    </w:lvl>
    <w:lvl w:ilvl="3">
      <w:start w:val="1"/>
      <w:numFmt w:val="lowerRoman"/>
      <w:lvlText w:val="%4."/>
      <w:lvlJc w:val="right"/>
      <w:pPr>
        <w:tabs>
          <w:tab w:val="num" w:pos="2268"/>
        </w:tabs>
        <w:ind w:left="1701" w:firstLine="0"/>
      </w:pPr>
      <w:rPr>
        <w:rFonts w:hint="default"/>
        <w:b w:val="0"/>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abstractNum w:abstractNumId="5">
    <w:nsid w:val="58FD1A52"/>
    <w:multiLevelType w:val="hybridMultilevel"/>
    <w:tmpl w:val="EDEE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E51929"/>
    <w:multiLevelType w:val="multilevel"/>
    <w:tmpl w:val="6D98E10C"/>
    <w:lvl w:ilvl="0">
      <w:start w:val="23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b w:val="0"/>
      </w:rPr>
    </w:lvl>
    <w:lvl w:ilvl="2">
      <w:start w:val="1"/>
      <w:numFmt w:val="bullet"/>
      <w:lvlText w:val=""/>
      <w:lvlJc w:val="left"/>
      <w:pPr>
        <w:tabs>
          <w:tab w:val="num" w:pos="1134"/>
        </w:tabs>
        <w:ind w:left="567"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82"/>
    <w:rsid w:val="002106A1"/>
    <w:rsid w:val="004A0682"/>
    <w:rsid w:val="00E225E0"/>
    <w:rsid w:val="00E46097"/>
    <w:rsid w:val="00EB1914"/>
    <w:rsid w:val="00EC70D4"/>
    <w:rsid w:val="00F604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0682"/>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F60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A0682"/>
    <w:pPr>
      <w:keepNext/>
      <w:spacing w:after="120"/>
      <w:outlineLvl w:val="2"/>
    </w:pPr>
    <w:rPr>
      <w:rFonts w:cs="Arial"/>
      <w:b/>
      <w:sz w:val="24"/>
      <w:szCs w:val="24"/>
    </w:rPr>
  </w:style>
  <w:style w:type="paragraph" w:styleId="Heading4">
    <w:name w:val="heading 4"/>
    <w:basedOn w:val="Normal"/>
    <w:next w:val="Normal"/>
    <w:link w:val="Heading4Char"/>
    <w:autoRedefine/>
    <w:uiPriority w:val="99"/>
    <w:qFormat/>
    <w:rsid w:val="004A0682"/>
    <w:pPr>
      <w:keepNext/>
      <w:spacing w:after="120"/>
      <w:outlineLvl w:val="3"/>
    </w:pPr>
    <w:rPr>
      <w:rFonts w:cs="Arial"/>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A0682"/>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9"/>
    <w:rsid w:val="004A0682"/>
    <w:rPr>
      <w:rFonts w:ascii="Arial" w:eastAsia="Times New Roman" w:hAnsi="Arial" w:cs="Arial"/>
      <w:b/>
      <w:bCs/>
      <w:szCs w:val="21"/>
      <w:lang w:eastAsia="en-GB"/>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4A0682"/>
    <w:pPr>
      <w:ind w:left="720"/>
    </w:pPr>
    <w:rPr>
      <w:szCs w:val="22"/>
      <w:lang w:eastAsia="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4A0682"/>
    <w:rPr>
      <w:rFonts w:ascii="Arial" w:eastAsia="Times New Roman" w:hAnsi="Arial" w:cs="Times New Roman"/>
      <w:sz w:val="21"/>
    </w:rPr>
  </w:style>
  <w:style w:type="table" w:styleId="TableGrid">
    <w:name w:val="Table Grid"/>
    <w:basedOn w:val="TableNormal"/>
    <w:uiPriority w:val="39"/>
    <w:rsid w:val="004A06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0481"/>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0682"/>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F60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A0682"/>
    <w:pPr>
      <w:keepNext/>
      <w:spacing w:after="120"/>
      <w:outlineLvl w:val="2"/>
    </w:pPr>
    <w:rPr>
      <w:rFonts w:cs="Arial"/>
      <w:b/>
      <w:sz w:val="24"/>
      <w:szCs w:val="24"/>
    </w:rPr>
  </w:style>
  <w:style w:type="paragraph" w:styleId="Heading4">
    <w:name w:val="heading 4"/>
    <w:basedOn w:val="Normal"/>
    <w:next w:val="Normal"/>
    <w:link w:val="Heading4Char"/>
    <w:autoRedefine/>
    <w:uiPriority w:val="99"/>
    <w:qFormat/>
    <w:rsid w:val="004A0682"/>
    <w:pPr>
      <w:keepNext/>
      <w:spacing w:after="120"/>
      <w:outlineLvl w:val="3"/>
    </w:pPr>
    <w:rPr>
      <w:rFonts w:cs="Arial"/>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A0682"/>
    <w:rPr>
      <w:rFonts w:ascii="Arial" w:eastAsia="Times New Roman" w:hAnsi="Arial" w:cs="Arial"/>
      <w:b/>
      <w:sz w:val="24"/>
      <w:szCs w:val="24"/>
      <w:lang w:eastAsia="en-GB"/>
    </w:rPr>
  </w:style>
  <w:style w:type="character" w:customStyle="1" w:styleId="Heading4Char">
    <w:name w:val="Heading 4 Char"/>
    <w:basedOn w:val="DefaultParagraphFont"/>
    <w:link w:val="Heading4"/>
    <w:uiPriority w:val="99"/>
    <w:rsid w:val="004A0682"/>
    <w:rPr>
      <w:rFonts w:ascii="Arial" w:eastAsia="Times New Roman" w:hAnsi="Arial" w:cs="Arial"/>
      <w:b/>
      <w:bCs/>
      <w:szCs w:val="21"/>
      <w:lang w:eastAsia="en-GB"/>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4A0682"/>
    <w:pPr>
      <w:ind w:left="720"/>
    </w:pPr>
    <w:rPr>
      <w:szCs w:val="22"/>
      <w:lang w:eastAsia="en-US"/>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locked/>
    <w:rsid w:val="004A0682"/>
    <w:rPr>
      <w:rFonts w:ascii="Arial" w:eastAsia="Times New Roman" w:hAnsi="Arial" w:cs="Times New Roman"/>
      <w:sz w:val="21"/>
    </w:rPr>
  </w:style>
  <w:style w:type="table" w:styleId="TableGrid">
    <w:name w:val="Table Grid"/>
    <w:basedOn w:val="TableNormal"/>
    <w:uiPriority w:val="39"/>
    <w:rsid w:val="004A06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0481"/>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Paul,Lynch</dc:creator>
  <cp:lastModifiedBy>Paul,Lynch</cp:lastModifiedBy>
  <cp:revision>1</cp:revision>
  <dcterms:created xsi:type="dcterms:W3CDTF">2019-01-31T11:23:00Z</dcterms:created>
  <dcterms:modified xsi:type="dcterms:W3CDTF">2019-01-31T11:47:00Z</dcterms:modified>
</cp:coreProperties>
</file>